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8362A" w14:textId="3094D8EC" w:rsidR="002249B0" w:rsidRPr="00DC3962" w:rsidRDefault="002249B0" w:rsidP="00C728CE">
      <w:pPr>
        <w:spacing w:beforeLines="0" w:before="0" w:afterLines="0" w:after="60"/>
        <w:rPr>
          <w:rFonts w:ascii="Arial" w:eastAsiaTheme="minorEastAsia" w:hAnsi="Arial" w:cs="Arial"/>
          <w:b/>
          <w:bCs/>
          <w:sz w:val="24"/>
        </w:rPr>
      </w:pPr>
      <w:r w:rsidRPr="00DC3962">
        <w:rPr>
          <w:rFonts w:ascii="Arial" w:hAnsi="Arial" w:cs="Arial"/>
          <w:b/>
          <w:bCs/>
          <w:sz w:val="24"/>
        </w:rPr>
        <w:t>3GPP TSG RAN</w:t>
      </w:r>
      <w:r w:rsidR="009101F4" w:rsidRPr="00DC3962">
        <w:rPr>
          <w:rFonts w:ascii="Arial" w:hAnsi="Arial" w:cs="Arial"/>
          <w:b/>
          <w:bCs/>
          <w:sz w:val="24"/>
        </w:rPr>
        <w:t xml:space="preserve"> </w:t>
      </w:r>
      <w:r w:rsidRPr="00DC3962">
        <w:rPr>
          <w:rFonts w:ascii="Arial" w:hAnsi="Arial" w:cs="Arial"/>
          <w:b/>
          <w:bCs/>
          <w:sz w:val="24"/>
        </w:rPr>
        <w:t>#</w:t>
      </w:r>
      <w:r w:rsidR="009E2A92" w:rsidRPr="00DC3962">
        <w:rPr>
          <w:rFonts w:ascii="Arial" w:hAnsi="Arial" w:cs="Arial"/>
          <w:b/>
          <w:bCs/>
          <w:sz w:val="24"/>
        </w:rPr>
        <w:t xml:space="preserve"> </w:t>
      </w:r>
      <w:r w:rsidR="00065551" w:rsidRPr="00DC3962">
        <w:rPr>
          <w:rFonts w:ascii="Arial" w:eastAsiaTheme="minorEastAsia" w:hAnsi="Arial" w:cs="Arial" w:hint="eastAsia"/>
          <w:b/>
          <w:bCs/>
          <w:sz w:val="24"/>
        </w:rPr>
        <w:t>1</w:t>
      </w:r>
      <w:r w:rsidR="00DC3962" w:rsidRPr="00DC3962">
        <w:rPr>
          <w:rFonts w:ascii="Arial" w:eastAsiaTheme="minorEastAsia" w:hAnsi="Arial" w:cs="Arial" w:hint="eastAsia"/>
          <w:b/>
          <w:bCs/>
          <w:sz w:val="24"/>
        </w:rPr>
        <w:t>10</w:t>
      </w:r>
      <w:r w:rsidR="002B3F87" w:rsidRPr="00DC3962">
        <w:rPr>
          <w:rFonts w:ascii="Arial" w:hAnsi="Arial" w:cs="Arial"/>
          <w:b/>
          <w:bCs/>
          <w:sz w:val="24"/>
        </w:rPr>
        <w:tab/>
      </w:r>
      <w:r w:rsidR="002B3F87" w:rsidRPr="00DC3962">
        <w:rPr>
          <w:rFonts w:ascii="Arial" w:hAnsi="Arial" w:cs="Arial"/>
          <w:b/>
          <w:bCs/>
          <w:sz w:val="24"/>
        </w:rPr>
        <w:tab/>
      </w:r>
      <w:r w:rsidR="002B3F87" w:rsidRPr="00DC3962">
        <w:rPr>
          <w:rFonts w:ascii="Arial" w:hAnsi="Arial" w:cs="Arial"/>
          <w:b/>
          <w:bCs/>
          <w:sz w:val="24"/>
        </w:rPr>
        <w:tab/>
      </w:r>
      <w:r w:rsidR="002B3F87" w:rsidRPr="00DC3962">
        <w:rPr>
          <w:rFonts w:ascii="Arial" w:hAnsi="Arial" w:cs="Arial"/>
          <w:b/>
          <w:bCs/>
          <w:sz w:val="24"/>
        </w:rPr>
        <w:tab/>
      </w:r>
      <w:r w:rsidR="002B3F87" w:rsidRPr="00DC3962">
        <w:rPr>
          <w:rFonts w:ascii="Arial" w:hAnsi="Arial" w:cs="Arial"/>
          <w:b/>
          <w:bCs/>
          <w:sz w:val="24"/>
        </w:rPr>
        <w:tab/>
      </w:r>
      <w:r w:rsidR="002B3F87" w:rsidRPr="00DC3962">
        <w:rPr>
          <w:rFonts w:ascii="Arial" w:hAnsi="Arial" w:cs="Arial"/>
          <w:b/>
          <w:bCs/>
          <w:sz w:val="24"/>
        </w:rPr>
        <w:tab/>
      </w:r>
      <w:r w:rsidR="002B3F87" w:rsidRPr="00DC3962">
        <w:rPr>
          <w:rFonts w:ascii="Arial" w:hAnsi="Arial" w:cs="Arial"/>
          <w:b/>
          <w:bCs/>
          <w:sz w:val="24"/>
        </w:rPr>
        <w:tab/>
      </w:r>
      <w:r w:rsidR="002B3F87" w:rsidRPr="00DC3962">
        <w:rPr>
          <w:rFonts w:ascii="Arial" w:hAnsi="Arial" w:cs="Arial"/>
          <w:b/>
          <w:bCs/>
          <w:sz w:val="24"/>
        </w:rPr>
        <w:tab/>
      </w:r>
      <w:r w:rsidR="002B3F87" w:rsidRPr="00DC3962">
        <w:rPr>
          <w:rFonts w:ascii="Arial" w:hAnsi="Arial" w:cs="Arial"/>
          <w:b/>
          <w:bCs/>
          <w:sz w:val="24"/>
        </w:rPr>
        <w:tab/>
      </w:r>
      <w:r w:rsidR="00D5373B" w:rsidRPr="00DC3962">
        <w:rPr>
          <w:rFonts w:ascii="Arial" w:hAnsi="Arial" w:cs="Arial"/>
          <w:b/>
          <w:bCs/>
          <w:sz w:val="24"/>
        </w:rPr>
        <w:tab/>
      </w:r>
      <w:r w:rsidR="00FD36F7" w:rsidRPr="00DC3962">
        <w:rPr>
          <w:rFonts w:ascii="Arial" w:eastAsiaTheme="minorEastAsia" w:hAnsi="Arial" w:cs="Arial" w:hint="eastAsia"/>
          <w:b/>
          <w:bCs/>
          <w:sz w:val="24"/>
        </w:rPr>
        <w:t xml:space="preserve">       </w:t>
      </w:r>
      <w:r w:rsidR="00047A3D">
        <w:rPr>
          <w:rFonts w:ascii="Arial" w:eastAsiaTheme="minorEastAsia" w:hAnsi="Arial" w:cs="Arial"/>
          <w:b/>
          <w:bCs/>
          <w:sz w:val="24"/>
        </w:rPr>
        <w:t xml:space="preserve">   </w:t>
      </w:r>
      <w:bookmarkStart w:id="0" w:name="_GoBack"/>
      <w:bookmarkEnd w:id="0"/>
      <w:r w:rsidR="00FD36F7" w:rsidRPr="00DC3962">
        <w:rPr>
          <w:rFonts w:ascii="Arial" w:eastAsiaTheme="minorEastAsia" w:hAnsi="Arial" w:cs="Arial" w:hint="eastAsia"/>
          <w:b/>
          <w:bCs/>
          <w:sz w:val="24"/>
        </w:rPr>
        <w:t xml:space="preserve">   </w:t>
      </w:r>
      <w:r w:rsidR="000250C3" w:rsidRPr="00DC3962">
        <w:rPr>
          <w:rFonts w:ascii="Arial" w:eastAsiaTheme="minorEastAsia" w:hAnsi="Arial" w:cs="Arial" w:hint="eastAsia"/>
          <w:b/>
          <w:bCs/>
          <w:sz w:val="24"/>
        </w:rPr>
        <w:t xml:space="preserve"> </w:t>
      </w:r>
      <w:r w:rsidR="000250C3" w:rsidRPr="00DC3962">
        <w:rPr>
          <w:rFonts w:ascii="Arial" w:eastAsiaTheme="minorEastAsia" w:hAnsi="Arial" w:cs="Arial"/>
          <w:b/>
          <w:bCs/>
          <w:sz w:val="24"/>
        </w:rPr>
        <w:t>RP-</w:t>
      </w:r>
      <w:r w:rsidR="00DC3962" w:rsidRPr="00DC3962">
        <w:rPr>
          <w:rFonts w:ascii="Arial" w:eastAsiaTheme="minorEastAsia" w:hAnsi="Arial" w:cs="Arial"/>
          <w:b/>
          <w:bCs/>
          <w:sz w:val="24"/>
        </w:rPr>
        <w:t>25</w:t>
      </w:r>
      <w:r w:rsidR="00047A3D">
        <w:rPr>
          <w:rFonts w:ascii="Arial" w:eastAsiaTheme="minorEastAsia" w:hAnsi="Arial" w:cs="Arial"/>
          <w:b/>
          <w:bCs/>
          <w:sz w:val="24"/>
        </w:rPr>
        <w:t>3297</w:t>
      </w:r>
    </w:p>
    <w:p w14:paraId="4F4035E0" w14:textId="77777777" w:rsidR="00DC3962" w:rsidRPr="006964B7" w:rsidRDefault="00DC3962" w:rsidP="00DC3962">
      <w:pPr>
        <w:adjustRightInd w:val="0"/>
        <w:snapToGrid w:val="0"/>
        <w:spacing w:before="156" w:after="156"/>
        <w:rPr>
          <w:rFonts w:eastAsiaTheme="minorEastAsia"/>
          <w:b/>
        </w:rPr>
      </w:pPr>
      <w:r>
        <w:rPr>
          <w:rFonts w:ascii="Arial" w:eastAsiaTheme="minorEastAsia" w:hAnsi="Arial"/>
          <w:b/>
          <w:sz w:val="24"/>
        </w:rPr>
        <w:t>Baltimore, USA, Dec</w:t>
      </w:r>
      <w:r>
        <w:rPr>
          <w:rFonts w:ascii="Arial" w:hAnsi="Arial"/>
          <w:b/>
          <w:sz w:val="24"/>
        </w:rPr>
        <w:t>ember 15-18</w:t>
      </w:r>
      <w:r w:rsidRPr="000B1153">
        <w:rPr>
          <w:rFonts w:ascii="Arial" w:hAnsi="Arial"/>
          <w:b/>
          <w:sz w:val="24"/>
          <w:vertAlign w:val="superscript"/>
        </w:rPr>
        <w:t>th</w:t>
      </w:r>
      <w:r w:rsidRPr="006964B7">
        <w:rPr>
          <w:rFonts w:ascii="Arial" w:hAnsi="Arial"/>
          <w:b/>
          <w:sz w:val="24"/>
        </w:rPr>
        <w:t>, 202</w:t>
      </w:r>
      <w:r w:rsidRPr="006964B7">
        <w:rPr>
          <w:rFonts w:ascii="Arial" w:eastAsiaTheme="minorEastAsia" w:hAnsi="Arial" w:hint="eastAsia"/>
          <w:b/>
          <w:sz w:val="24"/>
        </w:rPr>
        <w:t>5</w:t>
      </w:r>
    </w:p>
    <w:p w14:paraId="786EE2FB" w14:textId="77777777" w:rsidR="002249B0" w:rsidRPr="00E7665A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GB"/>
        </w:rPr>
      </w:pPr>
    </w:p>
    <w:p w14:paraId="5106BE94" w14:textId="429B2268" w:rsidR="002249B0" w:rsidRPr="00E7665A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E7665A"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1" w:name="OLE_LINK8"/>
      <w:bookmarkStart w:id="2" w:name="OLE_LINK6"/>
      <w:bookmarkStart w:id="3" w:name="OLE_LINK7"/>
      <w:r w:rsidR="00C07DF8" w:rsidRPr="00C07DF8">
        <w:rPr>
          <w:rFonts w:ascii="Arial" w:eastAsia="宋体" w:hAnsi="Arial" w:cs="Arial"/>
          <w:b/>
          <w:bCs/>
          <w:sz w:val="24"/>
          <w:szCs w:val="24"/>
          <w:lang w:val="en-AU"/>
        </w:rPr>
        <w:t>8.2.1.</w:t>
      </w:r>
      <w:bookmarkEnd w:id="1"/>
      <w:r w:rsidR="00210934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0</w:t>
      </w:r>
    </w:p>
    <w:p w14:paraId="0ACA164D" w14:textId="278702E9" w:rsidR="002249B0" w:rsidRPr="00E7665A" w:rsidRDefault="002249B0" w:rsidP="00FD36F7">
      <w:pPr>
        <w:tabs>
          <w:tab w:val="left" w:pos="1819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E7665A"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 w:rsidR="0004450B">
        <w:rPr>
          <w:rFonts w:ascii="Arial" w:eastAsia="宋体" w:hAnsi="Arial" w:cs="Arial"/>
          <w:b/>
          <w:bCs/>
          <w:sz w:val="24"/>
          <w:szCs w:val="24"/>
          <w:lang w:val="en-AU"/>
        </w:rPr>
        <w:t>CSCN</w:t>
      </w:r>
      <w:r w:rsidR="00944A39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, CATT</w:t>
      </w:r>
      <w:r w:rsidR="00B356DD">
        <w:rPr>
          <w:rFonts w:ascii="Arial" w:eastAsia="宋体" w:hAnsi="Arial" w:cs="Arial"/>
          <w:b/>
          <w:bCs/>
          <w:sz w:val="24"/>
          <w:szCs w:val="24"/>
          <w:lang w:val="en-AU"/>
        </w:rPr>
        <w:t>, CBN, China Broadnet</w:t>
      </w:r>
      <w:r w:rsidR="00C75F8D">
        <w:rPr>
          <w:rFonts w:ascii="Arial" w:eastAsia="宋体" w:hAnsi="Arial" w:cs="Arial"/>
          <w:b/>
          <w:bCs/>
          <w:sz w:val="24"/>
          <w:szCs w:val="24"/>
          <w:lang w:val="en-AU"/>
        </w:rPr>
        <w:t>, China Unicom</w:t>
      </w:r>
    </w:p>
    <w:p w14:paraId="05C635FC" w14:textId="563F52DE" w:rsidR="003D52FA" w:rsidRDefault="002249B0" w:rsidP="002249B0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sz w:val="24"/>
          <w:szCs w:val="24"/>
          <w:lang w:val="en-AU"/>
        </w:rPr>
      </w:pPr>
      <w:r w:rsidRPr="00E7665A"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 w:rsidR="00C62119">
        <w:rPr>
          <w:rFonts w:ascii="Arial" w:eastAsia="宋体" w:hAnsi="Arial" w:cs="Arial"/>
          <w:b/>
          <w:sz w:val="24"/>
          <w:szCs w:val="24"/>
          <w:lang w:val="en-AU"/>
        </w:rPr>
        <w:t xml:space="preserve"> </w:t>
      </w:r>
      <w:r w:rsidR="00C07DF8">
        <w:rPr>
          <w:rFonts w:ascii="Arial" w:eastAsia="宋体" w:hAnsi="Arial" w:cs="Arial" w:hint="eastAsia"/>
          <w:b/>
          <w:sz w:val="24"/>
          <w:szCs w:val="24"/>
          <w:lang w:val="en-AU"/>
        </w:rPr>
        <w:t xml:space="preserve">         </w:t>
      </w:r>
      <w:r w:rsidR="00CD6C74">
        <w:rPr>
          <w:rFonts w:ascii="Arial" w:eastAsia="宋体" w:hAnsi="Arial" w:cs="Arial" w:hint="eastAsia"/>
          <w:b/>
          <w:sz w:val="24"/>
          <w:szCs w:val="24"/>
          <w:lang w:val="en-AU"/>
        </w:rPr>
        <w:t xml:space="preserve"> </w:t>
      </w:r>
      <w:r w:rsidR="00C07DF8" w:rsidRPr="00C07DF8">
        <w:rPr>
          <w:rFonts w:ascii="Arial" w:eastAsia="宋体" w:hAnsi="Arial" w:cs="Arial"/>
          <w:b/>
          <w:sz w:val="24"/>
          <w:szCs w:val="24"/>
          <w:lang w:val="en-AU"/>
        </w:rPr>
        <w:t>Views on 6G NTN Scenarios</w:t>
      </w:r>
    </w:p>
    <w:p w14:paraId="2011A5E4" w14:textId="2E6898CE" w:rsidR="003D52FA" w:rsidRDefault="003D52FA" w:rsidP="003D52FA">
      <w:pPr>
        <w:pBdr>
          <w:bottom w:val="single" w:sz="12" w:space="1" w:color="auto"/>
        </w:pBd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>
        <w:rPr>
          <w:rFonts w:ascii="Arial" w:eastAsia="宋体" w:hAnsi="Arial" w:cs="Arial"/>
          <w:b/>
          <w:sz w:val="24"/>
          <w:szCs w:val="24"/>
          <w:lang w:val="en-AU"/>
        </w:rPr>
        <w:t xml:space="preserve">Document for: </w:t>
      </w:r>
      <w:r w:rsidR="00C62119">
        <w:rPr>
          <w:rFonts w:ascii="Arial" w:eastAsia="宋体" w:hAnsi="Arial" w:cs="Arial"/>
          <w:b/>
          <w:sz w:val="24"/>
          <w:szCs w:val="24"/>
          <w:lang w:val="en-AU"/>
        </w:rPr>
        <w:t xml:space="preserve"> </w:t>
      </w:r>
      <w:r>
        <w:rPr>
          <w:rFonts w:ascii="Arial" w:eastAsia="宋体" w:hAnsi="Arial" w:cs="Arial"/>
          <w:b/>
          <w:sz w:val="24"/>
          <w:szCs w:val="24"/>
          <w:lang w:val="en-AU"/>
        </w:rPr>
        <w:t>Discussion/Decision</w:t>
      </w:r>
      <w:bookmarkEnd w:id="2"/>
      <w:bookmarkEnd w:id="3"/>
    </w:p>
    <w:p w14:paraId="6015EF26" w14:textId="77777777" w:rsidR="00977455" w:rsidRPr="00E7665A" w:rsidRDefault="00977455" w:rsidP="00E7665A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 w:rsidRPr="00E7665A">
        <w:rPr>
          <w:rFonts w:eastAsia="宋体" w:hint="eastAsia"/>
          <w:sz w:val="28"/>
          <w:szCs w:val="28"/>
        </w:rPr>
        <w:t>Introduction</w:t>
      </w:r>
    </w:p>
    <w:p w14:paraId="2518B2A6" w14:textId="3D38D838" w:rsidR="003D52FA" w:rsidRDefault="00722F27" w:rsidP="000F0101">
      <w:pPr>
        <w:pBdr>
          <w:bottom w:val="single" w:sz="12" w:space="1" w:color="auto"/>
        </w:pBdr>
        <w:spacing w:before="156" w:after="156"/>
        <w:rPr>
          <w:rFonts w:eastAsiaTheme="minorEastAsia" w:cs="Times New Roman"/>
        </w:rPr>
      </w:pPr>
      <w:r w:rsidRPr="00722F27">
        <w:rPr>
          <w:rFonts w:eastAsiaTheme="minorEastAsia" w:cs="Times New Roman"/>
        </w:rPr>
        <w:t>In RAN#10</w:t>
      </w:r>
      <w:r w:rsidR="00FA60E2">
        <w:rPr>
          <w:rFonts w:eastAsiaTheme="minorEastAsia" w:cs="Times New Roman" w:hint="eastAsia"/>
        </w:rPr>
        <w:t>9</w:t>
      </w:r>
      <w:r w:rsidR="00EF3D7C">
        <w:rPr>
          <w:rFonts w:eastAsiaTheme="minorEastAsia" w:cs="Times New Roman" w:hint="eastAsia"/>
        </w:rPr>
        <w:t>,</w:t>
      </w:r>
      <w:r w:rsidRPr="00722F27">
        <w:rPr>
          <w:rFonts w:eastAsiaTheme="minorEastAsia" w:cs="Times New Roman"/>
        </w:rPr>
        <w:t xml:space="preserve"> the “</w:t>
      </w:r>
      <w:r w:rsidR="0024029B" w:rsidRPr="004167F1">
        <w:rPr>
          <w:rFonts w:eastAsiaTheme="minorEastAsia"/>
        </w:rPr>
        <w:t>TR 38.914 v0.2.0 for Study on 6G Scenarios and requirements</w:t>
      </w:r>
      <w:r w:rsidRPr="00722F27">
        <w:rPr>
          <w:rFonts w:eastAsiaTheme="minorEastAsia" w:cs="Times New Roman"/>
        </w:rPr>
        <w:t xml:space="preserve">” </w:t>
      </w:r>
      <w:r w:rsidR="00C5480A">
        <w:rPr>
          <w:rFonts w:eastAsiaTheme="minorEastAsia" w:cs="Times New Roman" w:hint="eastAsia"/>
        </w:rPr>
        <w:t xml:space="preserve">was </w:t>
      </w:r>
      <w:r w:rsidRPr="00722F27">
        <w:rPr>
          <w:rFonts w:eastAsiaTheme="minorEastAsia" w:cs="Times New Roman"/>
        </w:rPr>
        <w:t xml:space="preserve">approved in </w:t>
      </w:r>
      <w:r w:rsidR="004167F1" w:rsidRPr="004167F1">
        <w:rPr>
          <w:rFonts w:eastAsiaTheme="minorEastAsia" w:cs="Times New Roman"/>
        </w:rPr>
        <w:t>RP-252882</w:t>
      </w:r>
      <w:r w:rsidRPr="00722F27">
        <w:rPr>
          <w:rFonts w:eastAsiaTheme="minorEastAsia" w:cs="Times New Roman"/>
        </w:rPr>
        <w:t xml:space="preserve"> [1]. </w:t>
      </w:r>
      <w:r w:rsidR="006603FC">
        <w:rPr>
          <w:rFonts w:eastAsiaTheme="minorEastAsia" w:cs="Times New Roman"/>
        </w:rPr>
        <w:t>I</w:t>
      </w:r>
      <w:r w:rsidR="006603FC">
        <w:rPr>
          <w:rFonts w:eastAsiaTheme="minorEastAsia" w:cs="Times New Roman" w:hint="eastAsia"/>
        </w:rPr>
        <w:t xml:space="preserve">n this </w:t>
      </w:r>
      <w:r w:rsidR="006603FC">
        <w:rPr>
          <w:rFonts w:eastAsiaTheme="minorEastAsia" w:cs="Times New Roman"/>
        </w:rPr>
        <w:t>contribution</w:t>
      </w:r>
      <w:r w:rsidR="006603FC">
        <w:rPr>
          <w:rFonts w:eastAsiaTheme="minorEastAsia" w:cs="Times New Roman" w:hint="eastAsia"/>
        </w:rPr>
        <w:t>, w</w:t>
      </w:r>
      <w:r w:rsidR="006603FC" w:rsidRPr="006603FC">
        <w:rPr>
          <w:rFonts w:eastAsiaTheme="minorEastAsia" w:cs="Times New Roman"/>
        </w:rPr>
        <w:t xml:space="preserve">e present our views </w:t>
      </w:r>
      <w:r w:rsidR="006603FC">
        <w:rPr>
          <w:rFonts w:eastAsiaTheme="minorEastAsia" w:cs="Times New Roman" w:hint="eastAsia"/>
        </w:rPr>
        <w:t xml:space="preserve">on NTN </w:t>
      </w:r>
      <w:r w:rsidR="006603FC" w:rsidRPr="006603FC">
        <w:rPr>
          <w:rFonts w:eastAsiaTheme="minorEastAsia" w:cs="Times New Roman"/>
        </w:rPr>
        <w:t>deployment scenarios</w:t>
      </w:r>
      <w:r w:rsidR="006603FC">
        <w:rPr>
          <w:rFonts w:eastAsiaTheme="minorEastAsia" w:cs="Times New Roman" w:hint="eastAsia"/>
        </w:rPr>
        <w:t>.</w:t>
      </w:r>
    </w:p>
    <w:p w14:paraId="3F8A5E4D" w14:textId="77777777" w:rsidR="00E7665A" w:rsidRDefault="00E7665A" w:rsidP="00E7665A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Discussion</w:t>
      </w:r>
    </w:p>
    <w:p w14:paraId="5054129A" w14:textId="6E6F2A2E" w:rsidR="00E314E2" w:rsidRDefault="00E314E2" w:rsidP="00E314E2">
      <w:pPr>
        <w:pStyle w:val="1"/>
        <w:numPr>
          <w:ilvl w:val="1"/>
          <w:numId w:val="3"/>
        </w:numPr>
        <w:spacing w:before="156" w:after="156"/>
        <w:rPr>
          <w:rFonts w:eastAsia="宋体"/>
          <w:sz w:val="28"/>
          <w:szCs w:val="28"/>
        </w:rPr>
      </w:pPr>
      <w:r w:rsidRPr="00E314E2">
        <w:rPr>
          <w:rFonts w:eastAsia="宋体"/>
          <w:sz w:val="28"/>
          <w:szCs w:val="28"/>
        </w:rPr>
        <w:t>Cell deployment</w:t>
      </w:r>
    </w:p>
    <w:p w14:paraId="7A91DA49" w14:textId="77777777" w:rsidR="00FB3868" w:rsidRDefault="00FB3868" w:rsidP="00FB3868">
      <w:pPr>
        <w:pStyle w:val="a3"/>
        <w:numPr>
          <w:ilvl w:val="0"/>
          <w:numId w:val="38"/>
        </w:numPr>
        <w:spacing w:before="156" w:after="156"/>
        <w:ind w:firstLineChars="0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Cell deployment</w:t>
      </w:r>
    </w:p>
    <w:p w14:paraId="48701D54" w14:textId="201ED0FE" w:rsidR="00FB3868" w:rsidRDefault="00FB3868" w:rsidP="00FB3868">
      <w:pPr>
        <w:spacing w:before="156" w:after="156"/>
        <w:rPr>
          <w:rFonts w:eastAsia="宋体"/>
        </w:rPr>
      </w:pPr>
      <w:r>
        <w:rPr>
          <w:rFonts w:eastAsia="宋体" w:hint="eastAsia"/>
        </w:rPr>
        <w:t>As studied and described in R16 TR38.821[</w:t>
      </w:r>
      <w:r w:rsidR="002C32AA">
        <w:rPr>
          <w:rFonts w:eastAsia="宋体" w:hint="eastAsia"/>
        </w:rPr>
        <w:t>2</w:t>
      </w:r>
      <w:r>
        <w:rPr>
          <w:rFonts w:eastAsia="宋体" w:hint="eastAsia"/>
        </w:rPr>
        <w:t xml:space="preserve">], </w:t>
      </w:r>
      <w:r>
        <w:rPr>
          <w:rFonts w:eastAsia="宋体"/>
        </w:rPr>
        <w:t>“</w:t>
      </w:r>
      <w:r>
        <w:t>Similar to TN, one or several SSB index can be used per PCI to separate SSB transmission on different beams.</w:t>
      </w:r>
      <w:r>
        <w:rPr>
          <w:rFonts w:eastAsia="宋体"/>
        </w:rPr>
        <w:t>”</w:t>
      </w:r>
      <w:r>
        <w:rPr>
          <w:rFonts w:eastAsia="宋体" w:hint="eastAsia"/>
        </w:rPr>
        <w:t xml:space="preserve"> We believe that 6G NTN can reuse the designs studied in 5G TN and NTN, whether it is SSB beam or other logical beams newly defined in 6G. As a result, 6G c</w:t>
      </w:r>
      <w:r>
        <w:rPr>
          <w:rFonts w:eastAsia="宋体"/>
        </w:rPr>
        <w:t>ell deployment</w:t>
      </w:r>
      <w:r>
        <w:rPr>
          <w:rFonts w:eastAsia="宋体" w:hint="eastAsia"/>
        </w:rPr>
        <w:t xml:space="preserve"> can include one-beam cell and multi-beam cell, as shown below.</w:t>
      </w:r>
    </w:p>
    <w:p w14:paraId="1021EE45" w14:textId="17EA963D" w:rsidR="00FB3868" w:rsidRDefault="00FB3868" w:rsidP="00FB3868">
      <w:pPr>
        <w:pStyle w:val="a3"/>
        <w:numPr>
          <w:ilvl w:val="0"/>
          <w:numId w:val="34"/>
        </w:numPr>
        <w:spacing w:before="156" w:after="156"/>
        <w:ind w:firstLineChars="0"/>
        <w:rPr>
          <w:rFonts w:eastAsiaTheme="minorEastAsia"/>
        </w:rPr>
      </w:pPr>
      <w:r>
        <w:rPr>
          <w:rFonts w:eastAsiaTheme="minorEastAsia"/>
        </w:rPr>
        <w:t xml:space="preserve">One-beam cell: The cell consists of only one logical beam as in Figure </w:t>
      </w:r>
      <w:r>
        <w:rPr>
          <w:rFonts w:eastAsiaTheme="minorEastAsia" w:hint="eastAsia"/>
        </w:rPr>
        <w:t>1</w:t>
      </w:r>
      <w:r>
        <w:rPr>
          <w:rFonts w:eastAsiaTheme="minorEastAsia"/>
        </w:rPr>
        <w:t>.</w:t>
      </w:r>
    </w:p>
    <w:p w14:paraId="00BE7CE0" w14:textId="77777777" w:rsidR="00FB3868" w:rsidRDefault="00FB3868" w:rsidP="00FB3868">
      <w:pPr>
        <w:spacing w:before="156" w:after="156"/>
        <w:jc w:val="center"/>
        <w:rPr>
          <w:rFonts w:eastAsiaTheme="minorEastAsia"/>
        </w:rPr>
      </w:pPr>
      <w:r>
        <w:rPr>
          <w:rFonts w:eastAsiaTheme="minorEastAsia" w:hint="eastAsia"/>
        </w:rPr>
        <w:object w:dxaOrig="5411" w:dyaOrig="3600" w14:anchorId="48A8B9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45pt;height:180pt" o:ole="">
            <v:imagedata r:id="rId8" o:title=""/>
            <o:lock v:ext="edit" aspectratio="f"/>
          </v:shape>
          <o:OLEObject Type="Embed" ProgID="Visio.Drawing.15" ShapeID="_x0000_i1025" DrawAspect="Content" ObjectID="_1825691708" r:id="rId9"/>
        </w:object>
      </w:r>
    </w:p>
    <w:p w14:paraId="26C94C82" w14:textId="1598159A" w:rsidR="00FB3868" w:rsidRDefault="00FB3868" w:rsidP="00FB3868">
      <w:pPr>
        <w:spacing w:before="156" w:after="156"/>
        <w:jc w:val="center"/>
        <w:rPr>
          <w:rFonts w:eastAsiaTheme="minorEastAsia"/>
        </w:rPr>
      </w:pPr>
      <w:r>
        <w:rPr>
          <w:rFonts w:eastAsiaTheme="minorEastAsia" w:hint="eastAsia"/>
        </w:rPr>
        <w:t>Figure 1: O</w:t>
      </w:r>
      <w:r>
        <w:t>ne-beam cell</w:t>
      </w:r>
    </w:p>
    <w:p w14:paraId="1388D45F" w14:textId="2CC3B217" w:rsidR="00FB3868" w:rsidRDefault="00FB3868" w:rsidP="00FB3868">
      <w:pPr>
        <w:pStyle w:val="a3"/>
        <w:numPr>
          <w:ilvl w:val="0"/>
          <w:numId w:val="34"/>
        </w:numPr>
        <w:spacing w:before="156" w:after="156"/>
        <w:ind w:firstLineChars="0"/>
        <w:rPr>
          <w:rFonts w:eastAsiaTheme="minorEastAsia"/>
        </w:rPr>
      </w:pPr>
      <w:r>
        <w:rPr>
          <w:rFonts w:eastAsiaTheme="minorEastAsia"/>
        </w:rPr>
        <w:lastRenderedPageBreak/>
        <w:t xml:space="preserve">Multi-beam cell: The cell consists of multiple logical beams with beam sweeping within a cell as in Figure </w:t>
      </w:r>
      <w:r>
        <w:rPr>
          <w:rFonts w:eastAsiaTheme="minorEastAsia" w:hint="eastAsia"/>
        </w:rPr>
        <w:t>2</w:t>
      </w:r>
      <w:r>
        <w:rPr>
          <w:rFonts w:eastAsiaTheme="minorEastAsia"/>
        </w:rPr>
        <w:t>. Logical beams may be SSB beams inherited from 5G or newly defined synchronization signals in 6G. To achieve refined management, supporting more than 8 logical beams in FR1 can be considered.</w:t>
      </w:r>
    </w:p>
    <w:p w14:paraId="034807E3" w14:textId="77777777" w:rsidR="00FB3868" w:rsidRDefault="00FB3868" w:rsidP="00FB3868">
      <w:pPr>
        <w:spacing w:before="156" w:after="156"/>
        <w:jc w:val="center"/>
        <w:rPr>
          <w:rFonts w:eastAsiaTheme="minorEastAsia"/>
        </w:rPr>
      </w:pPr>
      <w:r>
        <w:rPr>
          <w:rFonts w:eastAsiaTheme="minorEastAsia" w:hint="eastAsia"/>
        </w:rPr>
        <w:object w:dxaOrig="5411" w:dyaOrig="4192" w14:anchorId="0BE22C70">
          <v:shape id="_x0000_i1026" type="#_x0000_t75" style="width:270.45pt;height:209.65pt" o:ole="">
            <v:imagedata r:id="rId10" o:title=""/>
            <o:lock v:ext="edit" aspectratio="f"/>
          </v:shape>
          <o:OLEObject Type="Embed" ProgID="Visio.Drawing.15" ShapeID="_x0000_i1026" DrawAspect="Content" ObjectID="_1825691709" r:id="rId11"/>
        </w:object>
      </w:r>
    </w:p>
    <w:p w14:paraId="7D63303E" w14:textId="47226750" w:rsidR="00FB3868" w:rsidRDefault="00FB3868" w:rsidP="00FB3868">
      <w:pPr>
        <w:spacing w:before="156" w:after="156"/>
        <w:jc w:val="center"/>
        <w:rPr>
          <w:rFonts w:eastAsiaTheme="minorEastAsia"/>
        </w:rPr>
      </w:pPr>
      <w:r>
        <w:rPr>
          <w:rFonts w:eastAsiaTheme="minorEastAsia" w:hint="eastAsia"/>
        </w:rPr>
        <w:t>Figure 2: M</w:t>
      </w:r>
      <w:r>
        <w:rPr>
          <w:rFonts w:eastAsiaTheme="minorEastAsia"/>
        </w:rPr>
        <w:t>ulti-beam</w:t>
      </w:r>
      <w:r>
        <w:t xml:space="preserve"> cell</w:t>
      </w:r>
    </w:p>
    <w:p w14:paraId="6596CD35" w14:textId="19DB947A" w:rsidR="00FB3868" w:rsidRPr="00FB3868" w:rsidRDefault="00FB3868" w:rsidP="00FB3868">
      <w:pPr>
        <w:pStyle w:val="1st-Proposal-YJ"/>
        <w:tabs>
          <w:tab w:val="left" w:pos="0"/>
        </w:tabs>
        <w:spacing w:before="156" w:after="156"/>
        <w:rPr>
          <w:rFonts w:eastAsia="宋体"/>
          <w:i w:val="0"/>
        </w:rPr>
      </w:pPr>
      <w:bookmarkStart w:id="4" w:name="_Toc210087766"/>
      <w:bookmarkStart w:id="5" w:name="_Toc210123421"/>
      <w:bookmarkStart w:id="6" w:name="_Toc210122154"/>
      <w:bookmarkStart w:id="7" w:name="_Toc210087664"/>
      <w:bookmarkStart w:id="8" w:name="_Toc210123221"/>
      <w:bookmarkStart w:id="9" w:name="_Toc210122342"/>
      <w:bookmarkStart w:id="10" w:name="_Toc210122407"/>
      <w:bookmarkStart w:id="11" w:name="_Toc210123362"/>
      <w:bookmarkStart w:id="12" w:name="_Toc210080775"/>
      <w:bookmarkStart w:id="13" w:name="_Toc214987400"/>
      <w:bookmarkStart w:id="14" w:name="_Toc215048533"/>
      <w:bookmarkStart w:id="15" w:name="_Toc215078343"/>
      <w:bookmarkStart w:id="16" w:name="_Toc215078652"/>
      <w:r w:rsidRPr="00FB3868">
        <w:rPr>
          <w:rFonts w:eastAsiaTheme="minorEastAsia"/>
          <w:i w:val="0"/>
        </w:rPr>
        <w:t>6G NTN shall support the</w:t>
      </w:r>
      <w:r w:rsidRPr="00FB3868">
        <w:t xml:space="preserve"> </w:t>
      </w:r>
      <w:r>
        <w:rPr>
          <w:rFonts w:eastAsiaTheme="minorEastAsia" w:hint="eastAsia"/>
          <w:i w:val="0"/>
        </w:rPr>
        <w:t>o</w:t>
      </w:r>
      <w:r w:rsidRPr="00FB3868">
        <w:rPr>
          <w:rFonts w:eastAsiaTheme="minorEastAsia"/>
          <w:i w:val="0"/>
        </w:rPr>
        <w:t>ne-beam cell</w:t>
      </w:r>
      <w:r>
        <w:rPr>
          <w:rFonts w:eastAsiaTheme="minorEastAsia" w:hint="eastAsia"/>
          <w:i w:val="0"/>
        </w:rPr>
        <w:t xml:space="preserve"> and m</w:t>
      </w:r>
      <w:r w:rsidRPr="00FB3868">
        <w:rPr>
          <w:rFonts w:eastAsiaTheme="minorEastAsia"/>
          <w:i w:val="0"/>
        </w:rPr>
        <w:t>ulti-beam cell</w:t>
      </w:r>
      <w:r>
        <w:rPr>
          <w:rFonts w:eastAsiaTheme="minorEastAsia" w:hint="eastAsia"/>
          <w:i w:val="0"/>
        </w:rPr>
        <w:t xml:space="preserve"> with </w:t>
      </w:r>
      <w:r w:rsidRPr="00FB3868">
        <w:rPr>
          <w:rFonts w:eastAsiaTheme="minorEastAsia"/>
          <w:i w:val="0"/>
        </w:rPr>
        <w:t xml:space="preserve">beam hopping </w:t>
      </w:r>
      <w:r w:rsidR="000668D4">
        <w:rPr>
          <w:rFonts w:eastAsiaTheme="minorEastAsia"/>
          <w:i w:val="0"/>
        </w:rPr>
        <w:t xml:space="preserve">and </w:t>
      </w:r>
      <w:r w:rsidRPr="00FB3868">
        <w:rPr>
          <w:rFonts w:eastAsiaTheme="minorEastAsia"/>
          <w:i w:val="0"/>
        </w:rPr>
        <w:t>more than 8 SSBs per cell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eastAsia="宋体" w:hint="eastAsia"/>
          <w:i w:val="0"/>
        </w:rPr>
        <w:t>.</w:t>
      </w:r>
      <w:bookmarkEnd w:id="13"/>
      <w:bookmarkEnd w:id="14"/>
      <w:bookmarkEnd w:id="15"/>
      <w:bookmarkEnd w:id="16"/>
    </w:p>
    <w:p w14:paraId="654B5F97" w14:textId="77777777" w:rsidR="00FB3868" w:rsidRDefault="00FB3868" w:rsidP="00FB3868">
      <w:pPr>
        <w:spacing w:before="156" w:after="156"/>
        <w:rPr>
          <w:rFonts w:eastAsia="宋体"/>
          <w:b/>
          <w:bCs/>
        </w:rPr>
      </w:pPr>
    </w:p>
    <w:p w14:paraId="179F0EEE" w14:textId="77777777" w:rsidR="00FB3868" w:rsidRDefault="00FB3868" w:rsidP="00FB3868">
      <w:pPr>
        <w:pStyle w:val="a3"/>
        <w:numPr>
          <w:ilvl w:val="0"/>
          <w:numId w:val="38"/>
        </w:numPr>
        <w:spacing w:before="156" w:after="156"/>
        <w:ind w:firstLineChars="0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Cell type</w:t>
      </w:r>
    </w:p>
    <w:p w14:paraId="4C0C8997" w14:textId="3197CD05" w:rsidR="00FB3868" w:rsidRDefault="00FB3868" w:rsidP="00FB3868">
      <w:pPr>
        <w:spacing w:before="156" w:after="156"/>
        <w:rPr>
          <w:rFonts w:eastAsia="宋体"/>
        </w:rPr>
      </w:pPr>
      <w:r>
        <w:rPr>
          <w:rFonts w:eastAsia="宋体"/>
        </w:rPr>
        <w:t>NTN can be deployed to provide coverage with earth-moving cell, quasi-earth-fixed cell and earth-fixed cell which are supported respectively by the following three types of service link</w:t>
      </w:r>
      <w:r>
        <w:rPr>
          <w:rFonts w:eastAsia="宋体" w:hint="eastAsia"/>
        </w:rPr>
        <w:t xml:space="preserve"> [</w:t>
      </w:r>
      <w:r w:rsidR="002C32AA">
        <w:rPr>
          <w:rFonts w:eastAsia="宋体" w:hint="eastAsia"/>
        </w:rPr>
        <w:t>3</w:t>
      </w:r>
      <w:r>
        <w:rPr>
          <w:rFonts w:eastAsia="宋体" w:hint="eastAsia"/>
        </w:rPr>
        <w:t>]</w:t>
      </w:r>
      <w:r>
        <w:rPr>
          <w:rFonts w:eastAsia="宋体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6"/>
      </w:tblGrid>
      <w:tr w:rsidR="00FB3868" w14:paraId="2AB7A747" w14:textId="77777777" w:rsidTr="00090261">
        <w:tc>
          <w:tcPr>
            <w:tcW w:w="9572" w:type="dxa"/>
          </w:tcPr>
          <w:p w14:paraId="18074A7D" w14:textId="77777777" w:rsidR="00FB3868" w:rsidRDefault="00FB3868" w:rsidP="00FB3868">
            <w:pPr>
              <w:pStyle w:val="a3"/>
              <w:numPr>
                <w:ilvl w:val="0"/>
                <w:numId w:val="39"/>
              </w:numPr>
              <w:spacing w:before="156" w:after="156"/>
              <w:ind w:leftChars="100" w:left="640" w:firstLineChars="0"/>
              <w:rPr>
                <w:rFonts w:eastAsia="宋体"/>
              </w:rPr>
            </w:pPr>
            <w:r>
              <w:rPr>
                <w:rFonts w:eastAsia="宋体"/>
              </w:rPr>
              <w:t>Earth-fixed: provisioned by beam(s) continuously covering the same geographical areas all the time (e.g., the case of GSO satellites);</w:t>
            </w:r>
          </w:p>
          <w:p w14:paraId="6AC14EB6" w14:textId="77777777" w:rsidR="00FB3868" w:rsidRDefault="00FB3868" w:rsidP="00FB3868">
            <w:pPr>
              <w:pStyle w:val="a3"/>
              <w:numPr>
                <w:ilvl w:val="0"/>
                <w:numId w:val="39"/>
              </w:numPr>
              <w:spacing w:before="156" w:after="156"/>
              <w:ind w:leftChars="100" w:left="640" w:firstLineChars="0"/>
              <w:rPr>
                <w:rFonts w:eastAsia="宋体"/>
              </w:rPr>
            </w:pPr>
            <w:r>
              <w:rPr>
                <w:rFonts w:eastAsia="宋体"/>
              </w:rPr>
              <w:t>Quasi-Earth-fixed: provisioned by beam(s) covering one geographic area for a limited period and a different geographic area during another period (e.g., the case of NGSO satellites generating steerable beams);</w:t>
            </w:r>
          </w:p>
          <w:p w14:paraId="14F589E4" w14:textId="77777777" w:rsidR="00FB3868" w:rsidRDefault="00FB3868" w:rsidP="00FB3868">
            <w:pPr>
              <w:pStyle w:val="a3"/>
              <w:numPr>
                <w:ilvl w:val="0"/>
                <w:numId w:val="39"/>
              </w:numPr>
              <w:spacing w:before="156" w:after="156"/>
              <w:ind w:leftChars="100" w:left="640" w:firstLineChars="0"/>
              <w:rPr>
                <w:rFonts w:eastAsia="宋体"/>
              </w:rPr>
            </w:pPr>
            <w:r>
              <w:rPr>
                <w:rFonts w:eastAsia="宋体"/>
              </w:rPr>
              <w:t>Earth-moving: provisioned by beam(s) whose coverage area slides over the Earth surface (e.g., the case of NGSO satellites generating fixed or non-steerable beams).</w:t>
            </w:r>
          </w:p>
        </w:tc>
      </w:tr>
    </w:tbl>
    <w:p w14:paraId="62991227" w14:textId="74A3D6C3" w:rsidR="00FB3868" w:rsidRDefault="00FB3868" w:rsidP="00FB3868">
      <w:pPr>
        <w:spacing w:before="156" w:after="156"/>
        <w:rPr>
          <w:rFonts w:eastAsia="宋体"/>
        </w:rPr>
      </w:pPr>
      <w:bookmarkStart w:id="17" w:name="_Hlk210122873"/>
      <w:r>
        <w:rPr>
          <w:rFonts w:eastAsia="宋体" w:hint="eastAsia"/>
        </w:rPr>
        <w:t>T</w:t>
      </w:r>
      <w:r>
        <w:rPr>
          <w:rFonts w:eastAsia="宋体"/>
        </w:rPr>
        <w:t>he Quasi-Earth-Fixed deployment can be categorized into two types</w:t>
      </w:r>
      <w:r>
        <w:rPr>
          <w:rFonts w:eastAsia="宋体" w:hint="eastAsia"/>
        </w:rPr>
        <w:t xml:space="preserve"> in the</w:t>
      </w:r>
      <w:r>
        <w:rPr>
          <w:rFonts w:eastAsia="宋体"/>
        </w:rPr>
        <w:t xml:space="preserve"> scenario</w:t>
      </w:r>
      <w:r>
        <w:rPr>
          <w:rFonts w:eastAsia="宋体" w:hint="eastAsia"/>
        </w:rPr>
        <w:t xml:space="preserve"> of multi-beam cell</w:t>
      </w:r>
      <w:r>
        <w:rPr>
          <w:rFonts w:eastAsia="宋体"/>
        </w:rPr>
        <w:t xml:space="preserve">, </w:t>
      </w:r>
      <w:r>
        <w:rPr>
          <w:rFonts w:eastAsia="宋体" w:hint="eastAsia"/>
        </w:rPr>
        <w:t>t</w:t>
      </w:r>
      <w:r>
        <w:rPr>
          <w:rFonts w:eastAsia="宋体"/>
        </w:rPr>
        <w:t xml:space="preserve">he current serving cell is denoted by a yellow circle, with </w:t>
      </w:r>
      <w:r>
        <w:rPr>
          <w:rFonts w:eastAsia="宋体" w:hint="eastAsia"/>
        </w:rPr>
        <w:t xml:space="preserve">its </w:t>
      </w:r>
      <w:r>
        <w:rPr>
          <w:rFonts w:eastAsia="宋体"/>
        </w:rPr>
        <w:t xml:space="preserve">beams denoted </w:t>
      </w:r>
      <w:r>
        <w:rPr>
          <w:rFonts w:eastAsia="宋体" w:hint="eastAsia"/>
        </w:rPr>
        <w:t>by</w:t>
      </w:r>
      <w:r>
        <w:rPr>
          <w:rFonts w:eastAsia="宋体"/>
        </w:rPr>
        <w:t xml:space="preserve"> blue circles</w:t>
      </w:r>
      <w:r>
        <w:rPr>
          <w:rFonts w:eastAsia="宋体" w:hint="eastAsia"/>
        </w:rPr>
        <w:t>,</w:t>
      </w:r>
      <w:r>
        <w:rPr>
          <w:rFonts w:eastAsia="宋体"/>
        </w:rPr>
        <w:t xml:space="preserve"> as shown in Figure </w:t>
      </w:r>
      <w:r w:rsidR="00816386">
        <w:rPr>
          <w:rFonts w:eastAsia="宋体" w:hint="eastAsia"/>
        </w:rPr>
        <w:t>3</w:t>
      </w:r>
      <w:r>
        <w:rPr>
          <w:rFonts w:eastAsia="宋体"/>
        </w:rPr>
        <w:t>:</w:t>
      </w:r>
    </w:p>
    <w:p w14:paraId="255A4753" w14:textId="77777777" w:rsidR="00FB3868" w:rsidRDefault="00FB3868" w:rsidP="00FB3868">
      <w:pPr>
        <w:pStyle w:val="a3"/>
        <w:numPr>
          <w:ilvl w:val="0"/>
          <w:numId w:val="34"/>
        </w:numPr>
        <w:spacing w:before="156" w:after="156"/>
        <w:ind w:firstLineChars="0"/>
        <w:rPr>
          <w:rFonts w:eastAsiaTheme="minorEastAsia"/>
        </w:rPr>
      </w:pPr>
      <w:r>
        <w:rPr>
          <w:rFonts w:eastAsiaTheme="minorEastAsia"/>
        </w:rPr>
        <w:t>Case 1: The areas of cell coverage in two consecutive periods are completely different.</w:t>
      </w:r>
    </w:p>
    <w:p w14:paraId="136EF6E0" w14:textId="77777777" w:rsidR="00FB3868" w:rsidRDefault="00FB3868" w:rsidP="00FB3868">
      <w:pPr>
        <w:pStyle w:val="a3"/>
        <w:numPr>
          <w:ilvl w:val="0"/>
          <w:numId w:val="34"/>
        </w:numPr>
        <w:spacing w:before="156" w:after="156"/>
        <w:ind w:firstLineChars="0"/>
        <w:rPr>
          <w:rFonts w:eastAsiaTheme="minorEastAsia"/>
        </w:rPr>
      </w:pPr>
      <w:r>
        <w:rPr>
          <w:rFonts w:eastAsiaTheme="minorEastAsia"/>
        </w:rPr>
        <w:t>Case 2: The areas of cell coverage in two consecutive periods partly overlap.</w:t>
      </w:r>
      <w:r>
        <w:rPr>
          <w:rFonts w:eastAsiaTheme="minorEastAsia" w:hint="eastAsia"/>
        </w:rPr>
        <w:t xml:space="preserve"> </w:t>
      </w:r>
    </w:p>
    <w:bookmarkEnd w:id="17"/>
    <w:p w14:paraId="230199F0" w14:textId="77777777" w:rsidR="00FB3868" w:rsidRDefault="00FB3868" w:rsidP="00FB3868">
      <w:pPr>
        <w:spacing w:before="156" w:after="156"/>
        <w:jc w:val="center"/>
        <w:rPr>
          <w:rFonts w:eastAsia="宋体"/>
        </w:rPr>
      </w:pPr>
      <w:r>
        <w:rPr>
          <w:rFonts w:eastAsia="宋体"/>
          <w:noProof/>
        </w:rPr>
        <w:lastRenderedPageBreak/>
        <w:drawing>
          <wp:inline distT="0" distB="0" distL="0" distR="0" wp14:anchorId="5C1AB6F5" wp14:editId="07E9BD29">
            <wp:extent cx="3235325" cy="2437130"/>
            <wp:effectExtent l="0" t="0" r="3175" b="2540"/>
            <wp:docPr id="15568313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83139" name="图片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5325" cy="243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noProof/>
        </w:rPr>
        <w:drawing>
          <wp:inline distT="0" distB="0" distL="0" distR="0" wp14:anchorId="2D0A78E8" wp14:editId="05CD19CD">
            <wp:extent cx="2312670" cy="2433320"/>
            <wp:effectExtent l="0" t="0" r="8255" b="6350"/>
            <wp:docPr id="12849205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92054" name="图片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2670" cy="243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B4643" w14:textId="2F2C61C8" w:rsidR="00FB3868" w:rsidRDefault="00FB3868" w:rsidP="00FB3868">
      <w:pPr>
        <w:spacing w:before="156" w:after="156"/>
        <w:jc w:val="center"/>
        <w:rPr>
          <w:rFonts w:eastAsia="宋体"/>
        </w:rPr>
      </w:pPr>
      <w:r>
        <w:rPr>
          <w:rFonts w:eastAsia="宋体" w:hint="eastAsia"/>
        </w:rPr>
        <w:t xml:space="preserve">Figure </w:t>
      </w:r>
      <w:r w:rsidR="00C30AF0">
        <w:rPr>
          <w:rFonts w:eastAsia="宋体" w:hint="eastAsia"/>
        </w:rPr>
        <w:t>3</w:t>
      </w:r>
      <w:r>
        <w:rPr>
          <w:rFonts w:eastAsia="宋体" w:hint="eastAsia"/>
        </w:rPr>
        <w:t xml:space="preserve">: </w:t>
      </w:r>
      <w:r>
        <w:rPr>
          <w:rFonts w:eastAsia="宋体"/>
        </w:rPr>
        <w:t xml:space="preserve">Quasi-Earth-Fixed </w:t>
      </w:r>
      <w:r>
        <w:rPr>
          <w:rFonts w:eastAsia="宋体" w:hint="eastAsia"/>
        </w:rPr>
        <w:t>case 1 and case 2</w:t>
      </w:r>
    </w:p>
    <w:p w14:paraId="0743230E" w14:textId="77777777" w:rsidR="00FB3868" w:rsidRDefault="00FB3868" w:rsidP="00FB3868">
      <w:pPr>
        <w:spacing w:before="156" w:after="156"/>
        <w:rPr>
          <w:rFonts w:eastAsia="宋体"/>
        </w:rPr>
      </w:pPr>
      <w:r>
        <w:rPr>
          <w:rFonts w:eastAsia="宋体" w:hint="eastAsia"/>
        </w:rPr>
        <w:t>For</w:t>
      </w:r>
      <w:r>
        <w:rPr>
          <w:rFonts w:eastAsia="宋体"/>
        </w:rPr>
        <w:t xml:space="preserve"> Quasi-Earth-Fixed </w:t>
      </w:r>
      <w:r>
        <w:rPr>
          <w:rFonts w:eastAsia="宋体" w:hint="eastAsia"/>
        </w:rPr>
        <w:t>case 1, s</w:t>
      </w:r>
      <w:r>
        <w:rPr>
          <w:rFonts w:eastAsia="宋体"/>
        </w:rPr>
        <w:t xml:space="preserve">ervice for UE1 and UE2 </w:t>
      </w:r>
      <w:r>
        <w:rPr>
          <w:rFonts w:eastAsia="宋体" w:hint="eastAsia"/>
        </w:rPr>
        <w:t>starts</w:t>
      </w:r>
      <w:r>
        <w:rPr>
          <w:rFonts w:eastAsia="宋体"/>
        </w:rPr>
        <w:t xml:space="preserve"> at time</w:t>
      </w:r>
      <w:r>
        <w:rPr>
          <w:rFonts w:eastAsia="宋体" w:hint="eastAsia"/>
        </w:rPr>
        <w:t xml:space="preserve"> T</w:t>
      </w:r>
      <w:r>
        <w:rPr>
          <w:rFonts w:eastAsia="宋体" w:hint="eastAsia"/>
          <w:vertAlign w:val="subscript"/>
        </w:rPr>
        <w:t>1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and </w:t>
      </w:r>
      <w:r>
        <w:rPr>
          <w:rFonts w:eastAsia="宋体" w:hint="eastAsia"/>
        </w:rPr>
        <w:t>stops</w:t>
      </w:r>
      <w:r>
        <w:rPr>
          <w:rFonts w:eastAsia="宋体"/>
        </w:rPr>
        <w:t xml:space="preserve"> simultaneously at time </w:t>
      </w:r>
      <w:bookmarkStart w:id="18" w:name="_Hlk209193598"/>
      <w:r>
        <w:rPr>
          <w:rFonts w:eastAsia="宋体"/>
        </w:rPr>
        <w:t>t-Service</w:t>
      </w:r>
      <w:bookmarkEnd w:id="18"/>
      <w:r>
        <w:rPr>
          <w:rFonts w:eastAsia="宋体"/>
        </w:rPr>
        <w:t xml:space="preserve">, after which the satellite </w:t>
      </w:r>
      <w:r>
        <w:rPr>
          <w:rFonts w:eastAsia="宋体" w:hint="eastAsia"/>
        </w:rPr>
        <w:t>start</w:t>
      </w:r>
      <w:r>
        <w:rPr>
          <w:rFonts w:eastAsia="宋体"/>
        </w:rPr>
        <w:t>s to serve the next geographic area</w:t>
      </w:r>
      <w:r>
        <w:rPr>
          <w:rFonts w:eastAsia="宋体" w:hint="eastAsia"/>
        </w:rPr>
        <w:t xml:space="preserve"> (i.e. another </w:t>
      </w:r>
      <w:r>
        <w:rPr>
          <w:rFonts w:eastAsia="宋体"/>
        </w:rPr>
        <w:t>cell</w:t>
      </w:r>
      <w:r>
        <w:rPr>
          <w:rFonts w:eastAsia="宋体" w:hint="eastAsia"/>
        </w:rPr>
        <w:t>)</w:t>
      </w:r>
      <w:r>
        <w:rPr>
          <w:rFonts w:eastAsia="宋体"/>
        </w:rPr>
        <w:t xml:space="preserve">. </w:t>
      </w:r>
      <w:r>
        <w:rPr>
          <w:rFonts w:eastAsia="宋体" w:hint="eastAsia"/>
        </w:rPr>
        <w:t>T</w:t>
      </w:r>
      <w:r>
        <w:rPr>
          <w:rFonts w:eastAsia="宋体"/>
        </w:rPr>
        <w:t xml:space="preserve">he geographical </w:t>
      </w:r>
      <w:r>
        <w:rPr>
          <w:rFonts w:eastAsia="宋体" w:hint="eastAsia"/>
        </w:rPr>
        <w:t>area</w:t>
      </w:r>
      <w:r>
        <w:rPr>
          <w:rFonts w:eastAsia="宋体"/>
        </w:rPr>
        <w:t xml:space="preserve"> of both the serving cell and its beams remains unchanged</w:t>
      </w:r>
      <w:r>
        <w:rPr>
          <w:rFonts w:eastAsia="宋体" w:hint="eastAsia"/>
        </w:rPr>
        <w:t xml:space="preserve"> during time T</w:t>
      </w:r>
      <w:r>
        <w:rPr>
          <w:rFonts w:eastAsia="宋体" w:hint="eastAsia"/>
          <w:vertAlign w:val="subscript"/>
        </w:rPr>
        <w:t xml:space="preserve">1 </w:t>
      </w:r>
      <w:r>
        <w:rPr>
          <w:rFonts w:eastAsia="宋体" w:hint="eastAsia"/>
        </w:rPr>
        <w:t xml:space="preserve">to time </w:t>
      </w:r>
      <w:r>
        <w:rPr>
          <w:rFonts w:eastAsia="宋体"/>
        </w:rPr>
        <w:t>t-Service. The continuous service duration for each UE is given by t-Service – T₁.</w:t>
      </w:r>
    </w:p>
    <w:p w14:paraId="35A471BB" w14:textId="77777777" w:rsidR="00FB3868" w:rsidRDefault="00FB3868" w:rsidP="00FB3868">
      <w:pPr>
        <w:spacing w:before="156" w:after="156"/>
        <w:rPr>
          <w:rFonts w:eastAsia="宋体"/>
        </w:rPr>
      </w:pPr>
      <w:r>
        <w:rPr>
          <w:rFonts w:eastAsia="宋体"/>
        </w:rPr>
        <w:t>For Quasi-Earth-Fixed case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2, </w:t>
      </w:r>
      <w:r>
        <w:rPr>
          <w:rFonts w:eastAsia="宋体" w:hint="eastAsia"/>
        </w:rPr>
        <w:t>with</w:t>
      </w:r>
      <w:r>
        <w:rPr>
          <w:rFonts w:eastAsia="宋体"/>
        </w:rPr>
        <w:t xml:space="preserve"> the satellite </w:t>
      </w:r>
      <w:r>
        <w:rPr>
          <w:rFonts w:eastAsia="宋体" w:hint="eastAsia"/>
        </w:rPr>
        <w:t>moves</w:t>
      </w:r>
      <w:r>
        <w:rPr>
          <w:rFonts w:eastAsia="宋体"/>
        </w:rPr>
        <w:t xml:space="preserve">, </w:t>
      </w:r>
      <w:r>
        <w:rPr>
          <w:rFonts w:eastAsia="宋体" w:hint="eastAsia"/>
        </w:rPr>
        <w:t xml:space="preserve">the cell </w:t>
      </w:r>
      <w:r>
        <w:rPr>
          <w:rFonts w:eastAsia="宋体"/>
        </w:rPr>
        <w:t>coverage area</w:t>
      </w:r>
      <w:r>
        <w:rPr>
          <w:rFonts w:eastAsia="宋体" w:hint="eastAsia"/>
        </w:rPr>
        <w:t xml:space="preserve"> hops</w:t>
      </w:r>
      <w:r>
        <w:rPr>
          <w:rFonts w:eastAsia="宋体"/>
        </w:rPr>
        <w:t xml:space="preserve"> over the Earth surface</w:t>
      </w:r>
      <w:r>
        <w:rPr>
          <w:rFonts w:eastAsia="宋体" w:hint="eastAsia"/>
        </w:rPr>
        <w:t xml:space="preserve"> with the earth-fixed beams. </w:t>
      </w:r>
      <w:r>
        <w:rPr>
          <w:rFonts w:eastAsia="宋体"/>
        </w:rPr>
        <w:t>D</w:t>
      </w:r>
      <w:r>
        <w:rPr>
          <w:rFonts w:eastAsia="宋体" w:hint="eastAsia"/>
        </w:rPr>
        <w:t xml:space="preserve">ifferent from all beams within </w:t>
      </w:r>
      <w:r>
        <w:rPr>
          <w:rFonts w:eastAsia="宋体"/>
        </w:rPr>
        <w:t xml:space="preserve">Quasi-Earth-Fixed </w:t>
      </w:r>
      <w:r>
        <w:rPr>
          <w:rFonts w:eastAsia="宋体" w:hint="eastAsia"/>
        </w:rPr>
        <w:t xml:space="preserve">case 1, one or </w:t>
      </w:r>
      <w:r>
        <w:rPr>
          <w:rFonts w:eastAsia="宋体"/>
        </w:rPr>
        <w:t>several</w:t>
      </w:r>
      <w:r>
        <w:rPr>
          <w:rFonts w:eastAsia="宋体" w:hint="eastAsia"/>
        </w:rPr>
        <w:t xml:space="preserve"> beams </w:t>
      </w:r>
      <w:r>
        <w:rPr>
          <w:rFonts w:eastAsia="宋体"/>
        </w:rPr>
        <w:t xml:space="preserve">covering </w:t>
      </w:r>
      <w:r>
        <w:rPr>
          <w:rFonts w:eastAsia="宋体" w:hint="eastAsia"/>
        </w:rPr>
        <w:t xml:space="preserve">for </w:t>
      </w:r>
      <w:r>
        <w:rPr>
          <w:rFonts w:eastAsia="宋体"/>
        </w:rPr>
        <w:t>one geographic area</w:t>
      </w:r>
      <w:r>
        <w:rPr>
          <w:rFonts w:eastAsia="宋体" w:hint="eastAsia"/>
        </w:rPr>
        <w:t xml:space="preserve"> switch to another </w:t>
      </w:r>
      <w:r>
        <w:rPr>
          <w:rFonts w:eastAsia="宋体"/>
        </w:rPr>
        <w:t xml:space="preserve">geographic area </w:t>
      </w:r>
      <w:r>
        <w:rPr>
          <w:rFonts w:eastAsia="宋体" w:hint="eastAsia"/>
        </w:rPr>
        <w:t>after</w:t>
      </w:r>
      <w:r>
        <w:rPr>
          <w:rFonts w:eastAsia="宋体"/>
        </w:rPr>
        <w:t xml:space="preserve"> a limited period</w:t>
      </w:r>
      <w:r>
        <w:rPr>
          <w:rFonts w:eastAsia="宋体" w:hint="eastAsia"/>
        </w:rPr>
        <w:t xml:space="preserve">. The service for </w:t>
      </w:r>
      <w:r>
        <w:rPr>
          <w:rFonts w:eastAsia="宋体"/>
        </w:rPr>
        <w:t>UE</w:t>
      </w:r>
      <w:r>
        <w:rPr>
          <w:rFonts w:eastAsia="宋体" w:hint="eastAsia"/>
        </w:rPr>
        <w:t xml:space="preserve">s in corresponding beams starts </w:t>
      </w:r>
      <w:r>
        <w:rPr>
          <w:rFonts w:eastAsia="宋体"/>
        </w:rPr>
        <w:t xml:space="preserve">and </w:t>
      </w:r>
      <w:r>
        <w:rPr>
          <w:rFonts w:eastAsia="宋体" w:hint="eastAsia"/>
        </w:rPr>
        <w:t>stops</w:t>
      </w:r>
      <w:r>
        <w:rPr>
          <w:rFonts w:eastAsia="宋体"/>
        </w:rPr>
        <w:t xml:space="preserve"> simultaneously</w:t>
      </w:r>
      <w:r>
        <w:rPr>
          <w:rFonts w:eastAsia="宋体" w:hint="eastAsia"/>
        </w:rPr>
        <w:t xml:space="preserve"> while the UEs in the other beams of this cell have the different start and stop time. </w:t>
      </w:r>
      <w:r>
        <w:rPr>
          <w:rFonts w:eastAsia="宋体"/>
        </w:rPr>
        <w:t>F</w:t>
      </w:r>
      <w:r>
        <w:rPr>
          <w:rFonts w:eastAsia="宋体" w:hint="eastAsia"/>
        </w:rPr>
        <w:t xml:space="preserve">rom our perspective, case2 is beneficial for the link budget with </w:t>
      </w:r>
      <w:r>
        <w:rPr>
          <w:rFonts w:eastAsia="宋体"/>
        </w:rPr>
        <w:t>ubiquitous</w:t>
      </w:r>
      <w:r>
        <w:rPr>
          <w:rFonts w:eastAsia="宋体" w:hint="eastAsia"/>
        </w:rPr>
        <w:t xml:space="preserve"> coverage.</w:t>
      </w:r>
    </w:p>
    <w:p w14:paraId="00ABDBC5" w14:textId="554A2FBD" w:rsidR="00FB3868" w:rsidRDefault="0018287B" w:rsidP="00FB3868">
      <w:pPr>
        <w:pStyle w:val="1st-Proposal-YJ"/>
        <w:tabs>
          <w:tab w:val="left" w:pos="0"/>
        </w:tabs>
        <w:spacing w:before="156" w:after="156"/>
        <w:rPr>
          <w:rFonts w:eastAsia="宋体"/>
          <w:i w:val="0"/>
          <w:iCs/>
        </w:rPr>
      </w:pPr>
      <w:bookmarkStart w:id="19" w:name="_Toc210122155"/>
      <w:bookmarkStart w:id="20" w:name="_Toc210122408"/>
      <w:bookmarkStart w:id="21" w:name="_Toc210087665"/>
      <w:bookmarkStart w:id="22" w:name="_Toc210087767"/>
      <w:bookmarkStart w:id="23" w:name="_Toc210122343"/>
      <w:bookmarkStart w:id="24" w:name="_Toc210123363"/>
      <w:bookmarkStart w:id="25" w:name="_Toc210123422"/>
      <w:bookmarkStart w:id="26" w:name="_Toc210123222"/>
      <w:bookmarkStart w:id="27" w:name="_Toc214987401"/>
      <w:bookmarkStart w:id="28" w:name="_Toc215048534"/>
      <w:bookmarkStart w:id="29" w:name="_Toc215078344"/>
      <w:bookmarkStart w:id="30" w:name="_Toc215078653"/>
      <w:bookmarkStart w:id="31" w:name="_Hlk214985739"/>
      <w:r>
        <w:rPr>
          <w:rFonts w:eastAsia="宋体" w:hint="eastAsia"/>
          <w:i w:val="0"/>
          <w:iCs/>
        </w:rPr>
        <w:t>6G NTN should support</w:t>
      </w:r>
      <w:r w:rsidR="00FB3868">
        <w:rPr>
          <w:rFonts w:eastAsia="宋体" w:hint="eastAsia"/>
          <w:i w:val="0"/>
          <w:iCs/>
        </w:rPr>
        <w:t xml:space="preserve"> </w:t>
      </w:r>
      <w:r w:rsidR="006C551E" w:rsidRPr="006C551E">
        <w:rPr>
          <w:rFonts w:eastAsia="宋体"/>
          <w:i w:val="0"/>
          <w:iCs/>
        </w:rPr>
        <w:t xml:space="preserve">Quasi-Earth-Fixed </w:t>
      </w:r>
      <w:r w:rsidR="00FB3868">
        <w:rPr>
          <w:rFonts w:eastAsia="宋体" w:hint="eastAsia"/>
          <w:i w:val="0"/>
          <w:iCs/>
        </w:rPr>
        <w:t>case 2</w:t>
      </w:r>
      <w:r w:rsidR="000668D4">
        <w:rPr>
          <w:rFonts w:eastAsia="宋体"/>
          <w:i w:val="0"/>
          <w:iCs/>
        </w:rPr>
        <w:t>,</w:t>
      </w:r>
      <w:r w:rsidR="00FB3868">
        <w:rPr>
          <w:rFonts w:eastAsia="宋体" w:hint="eastAsia"/>
          <w:i w:val="0"/>
          <w:iCs/>
        </w:rPr>
        <w:t xml:space="preserve"> </w:t>
      </w:r>
      <w:r w:rsidR="000668D4">
        <w:rPr>
          <w:rFonts w:eastAsia="宋体"/>
          <w:i w:val="0"/>
          <w:iCs/>
        </w:rPr>
        <w:t>in which</w:t>
      </w:r>
      <w:r w:rsidR="00FB3868">
        <w:rPr>
          <w:rFonts w:eastAsia="宋体"/>
          <w:i w:val="0"/>
          <w:iCs/>
        </w:rPr>
        <w:t xml:space="preserve"> cell coverage in two consecutive periods partly overlap</w:t>
      </w:r>
      <w:r w:rsidR="000668D4">
        <w:rPr>
          <w:rFonts w:eastAsia="宋体"/>
          <w:i w:val="0"/>
          <w:iCs/>
        </w:rPr>
        <w:t>s</w:t>
      </w:r>
      <w:r w:rsidR="00FB3868">
        <w:rPr>
          <w:rFonts w:eastAsia="宋体" w:hint="eastAsia"/>
          <w:i w:val="0"/>
          <w:iCs/>
        </w:rPr>
        <w:t xml:space="preserve"> in multi-beam </w:t>
      </w:r>
      <w:r w:rsidR="00FB3868">
        <w:rPr>
          <w:rFonts w:eastAsia="宋体"/>
          <w:i w:val="0"/>
          <w:iCs/>
        </w:rPr>
        <w:t>deployment</w:t>
      </w:r>
      <w:bookmarkEnd w:id="19"/>
      <w:bookmarkEnd w:id="20"/>
      <w:bookmarkEnd w:id="21"/>
      <w:bookmarkEnd w:id="22"/>
      <w:bookmarkEnd w:id="23"/>
      <w:r w:rsidR="00FB3868">
        <w:rPr>
          <w:rFonts w:eastAsia="宋体" w:hint="eastAsia"/>
          <w:i w:val="0"/>
          <w:iCs/>
        </w:rPr>
        <w:t>.</w:t>
      </w:r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p w14:paraId="21ABFD40" w14:textId="01B8BB7A" w:rsidR="00594E53" w:rsidRDefault="0025401D" w:rsidP="00594E53">
      <w:pPr>
        <w:pStyle w:val="1"/>
        <w:numPr>
          <w:ilvl w:val="1"/>
          <w:numId w:val="3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F</w:t>
      </w:r>
      <w:r>
        <w:rPr>
          <w:rFonts w:eastAsia="宋体" w:hint="eastAsia"/>
          <w:sz w:val="28"/>
          <w:szCs w:val="28"/>
        </w:rPr>
        <w:t>eeder link</w:t>
      </w:r>
    </w:p>
    <w:p w14:paraId="49F4CD32" w14:textId="3BD80A1E" w:rsidR="00AE2F0C" w:rsidRDefault="004A3BD7" w:rsidP="00AE2F0C">
      <w:pPr>
        <w:spacing w:before="156" w:after="156"/>
        <w:rPr>
          <w:rFonts w:eastAsia="宋体"/>
        </w:rPr>
      </w:pPr>
      <w:r w:rsidRPr="004A3BD7">
        <w:rPr>
          <w:rFonts w:eastAsia="宋体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E977F57" wp14:editId="2E7C3F40">
                <wp:simplePos x="0" y="0"/>
                <wp:positionH relativeFrom="column">
                  <wp:posOffset>85725</wp:posOffset>
                </wp:positionH>
                <wp:positionV relativeFrom="paragraph">
                  <wp:posOffset>678815</wp:posOffset>
                </wp:positionV>
                <wp:extent cx="5708015" cy="1864995"/>
                <wp:effectExtent l="0" t="0" r="26035" b="2095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015" cy="186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766CBF" w14:textId="77777777" w:rsidR="004A3BD7" w:rsidRPr="004A3BD7" w:rsidRDefault="004A3BD7" w:rsidP="00C75F8D">
                            <w:pPr>
                              <w:spacing w:beforeLines="0" w:before="0" w:afterLines="0" w:after="180"/>
                              <w:rPr>
                                <w:rFonts w:eastAsia="等线" w:cs="Times New Roman"/>
                                <w:kern w:val="0"/>
                                <w:szCs w:val="20"/>
                                <w:lang w:val="en-GB"/>
                              </w:rPr>
                            </w:pPr>
                            <w:bookmarkStart w:id="32" w:name="OLE_LINK242"/>
                            <w:bookmarkStart w:id="33" w:name="OLE_LINK243"/>
                            <w:r w:rsidRPr="004A3BD7">
                              <w:rPr>
                                <w:rFonts w:eastAsia="等线" w:cs="Times New Roman"/>
                                <w:kern w:val="0"/>
                                <w:szCs w:val="20"/>
                                <w:lang w:val="en-GB"/>
                              </w:rPr>
                              <w:t xml:space="preserve">[PR 8.17.6-1] </w:t>
                            </w:r>
                            <w:bookmarkEnd w:id="32"/>
                            <w:bookmarkEnd w:id="33"/>
                            <w:r w:rsidRPr="004A3BD7">
                              <w:rPr>
                                <w:rFonts w:eastAsia="等线" w:cs="Times New Roman"/>
                                <w:kern w:val="0"/>
                                <w:szCs w:val="20"/>
                                <w:lang w:val="en-GB"/>
                              </w:rPr>
                              <w:t xml:space="preserve">Subject to operator’s policy, the 6G network shall support mechanisms to connect the base stations (onboard satellite) and the ground core networks using </w:t>
                            </w:r>
                            <w:bookmarkStart w:id="34" w:name="OLE_LINK260"/>
                            <w:bookmarkStart w:id="35" w:name="OLE_LINK258"/>
                            <w:bookmarkStart w:id="36" w:name="OLE_LINK259"/>
                            <w:r w:rsidRPr="004A3BD7">
                              <w:rPr>
                                <w:rFonts w:eastAsia="等线" w:cs="Times New Roman"/>
                                <w:kern w:val="0"/>
                                <w:szCs w:val="20"/>
                                <w:lang w:val="en-GB"/>
                              </w:rPr>
                              <w:t>3GPP technology.</w:t>
                            </w:r>
                          </w:p>
                          <w:bookmarkEnd w:id="34"/>
                          <w:bookmarkEnd w:id="35"/>
                          <w:bookmarkEnd w:id="36"/>
                          <w:p w14:paraId="0C36B0BC" w14:textId="77777777" w:rsidR="004A3BD7" w:rsidRPr="004A3BD7" w:rsidRDefault="004A3BD7" w:rsidP="00C75F8D">
                            <w:pPr>
                              <w:spacing w:beforeLines="0" w:before="0" w:afterLines="0" w:after="180"/>
                              <w:rPr>
                                <w:rFonts w:eastAsia="等线" w:cs="Times New Roman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4A3BD7">
                              <w:rPr>
                                <w:rFonts w:eastAsia="等线" w:cs="Times New Roman"/>
                                <w:kern w:val="0"/>
                                <w:szCs w:val="20"/>
                                <w:lang w:val="en-GB"/>
                              </w:rPr>
                              <w:t>[PR 8.17.6-</w:t>
                            </w:r>
                            <w:bookmarkStart w:id="37" w:name="OLE_LINK244"/>
                            <w:bookmarkStart w:id="38" w:name="OLE_LINK245"/>
                            <w:r w:rsidRPr="004A3BD7">
                              <w:rPr>
                                <w:rFonts w:eastAsia="等线" w:cs="Times New Roman" w:hint="eastAsia"/>
                                <w:kern w:val="0"/>
                                <w:szCs w:val="20"/>
                                <w:lang w:val="en-GB"/>
                              </w:rPr>
                              <w:t>2</w:t>
                            </w:r>
                            <w:bookmarkEnd w:id="37"/>
                            <w:bookmarkEnd w:id="38"/>
                            <w:r w:rsidRPr="004A3BD7">
                              <w:rPr>
                                <w:rFonts w:eastAsia="等线" w:cs="Times New Roman"/>
                                <w:kern w:val="0"/>
                                <w:szCs w:val="20"/>
                                <w:lang w:val="en-GB"/>
                              </w:rPr>
                              <w:t xml:space="preserve">] </w:t>
                            </w:r>
                            <w:bookmarkStart w:id="39" w:name="OLE_LINK247"/>
                            <w:bookmarkStart w:id="40" w:name="OLE_LINK246"/>
                            <w:r w:rsidRPr="004A3BD7">
                              <w:rPr>
                                <w:rFonts w:eastAsia="等线" w:cs="Times New Roman"/>
                                <w:kern w:val="0"/>
                                <w:szCs w:val="20"/>
                                <w:lang w:val="en-GB"/>
                              </w:rPr>
                              <w:t xml:space="preserve">Subject to the regulatory requirements and operator’s policy, the 6G </w:t>
                            </w:r>
                            <w:r w:rsidRPr="004A3BD7">
                              <w:rPr>
                                <w:rFonts w:eastAsia="等线" w:cs="Times New Roman" w:hint="eastAsia"/>
                                <w:kern w:val="0"/>
                                <w:szCs w:val="20"/>
                              </w:rPr>
                              <w:t xml:space="preserve">network </w:t>
                            </w:r>
                            <w:r w:rsidRPr="004A3BD7">
                              <w:rPr>
                                <w:rFonts w:eastAsia="等线" w:cs="Times New Roman"/>
                                <w:kern w:val="0"/>
                                <w:szCs w:val="20"/>
                                <w:lang w:val="en-GB"/>
                              </w:rPr>
                              <w:t>shall</w:t>
                            </w:r>
                            <w:r w:rsidRPr="004A3BD7">
                              <w:rPr>
                                <w:rFonts w:eastAsia="等线" w:cs="Times New Roman" w:hint="eastAsia"/>
                                <w:kern w:val="0"/>
                                <w:szCs w:val="20"/>
                              </w:rPr>
                              <w:t xml:space="preserve"> </w:t>
                            </w:r>
                            <w:r w:rsidRPr="004A3BD7">
                              <w:rPr>
                                <w:rFonts w:eastAsia="等线" w:cs="Times New Roman"/>
                                <w:kern w:val="0"/>
                                <w:szCs w:val="20"/>
                                <w:lang w:val="en-GB"/>
                              </w:rPr>
                              <w:t>support</w:t>
                            </w:r>
                            <w:r w:rsidRPr="004A3BD7">
                              <w:rPr>
                                <w:rFonts w:eastAsia="等线" w:cs="Times New Roman" w:hint="eastAsia"/>
                                <w:kern w:val="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4A3BD7">
                              <w:rPr>
                                <w:rFonts w:eastAsia="等线" w:cs="Times New Roman"/>
                                <w:kern w:val="0"/>
                                <w:szCs w:val="20"/>
                              </w:rPr>
                              <w:t>a mechanism t</w:t>
                            </w:r>
                            <w:r w:rsidRPr="004A3BD7">
                              <w:rPr>
                                <w:rFonts w:eastAsia="等线" w:cs="Times New Roman" w:hint="eastAsia"/>
                                <w:kern w:val="0"/>
                                <w:szCs w:val="20"/>
                                <w:lang w:val="en-GB"/>
                              </w:rPr>
                              <w:t xml:space="preserve">o </w:t>
                            </w:r>
                            <w:bookmarkStart w:id="41" w:name="OLE_LINK420"/>
                            <w:bookmarkStart w:id="42" w:name="OLE_LINK421"/>
                            <w:r w:rsidRPr="004A3BD7">
                              <w:rPr>
                                <w:rFonts w:eastAsia="等线" w:cs="Times New Roman" w:hint="eastAsia"/>
                                <w:kern w:val="0"/>
                                <w:szCs w:val="20"/>
                                <w:lang w:val="en-GB"/>
                              </w:rPr>
                              <w:t xml:space="preserve">establish </w:t>
                            </w:r>
                            <w:bookmarkEnd w:id="41"/>
                            <w:bookmarkEnd w:id="42"/>
                            <w:r w:rsidRPr="004A3BD7">
                              <w:rPr>
                                <w:rFonts w:eastAsia="等线" w:cs="Times New Roman" w:hint="eastAsia"/>
                                <w:kern w:val="0"/>
                                <w:szCs w:val="20"/>
                              </w:rPr>
                              <w:t xml:space="preserve">an efficient </w:t>
                            </w:r>
                            <w:r w:rsidRPr="004A3BD7">
                              <w:rPr>
                                <w:rFonts w:eastAsia="等线" w:cs="Times New Roman" w:hint="eastAsia"/>
                                <w:kern w:val="0"/>
                                <w:szCs w:val="20"/>
                                <w:lang w:val="en-GB"/>
                              </w:rPr>
                              <w:t>connection between the base station (onboard satellite) and the ground core network</w:t>
                            </w:r>
                            <w:r w:rsidRPr="004A3BD7">
                              <w:rPr>
                                <w:rFonts w:eastAsia="等线" w:cs="Times New Roman" w:hint="eastAsia"/>
                                <w:kern w:val="0"/>
                                <w:szCs w:val="20"/>
                              </w:rPr>
                              <w:t xml:space="preserve"> considering </w:t>
                            </w:r>
                            <w:r w:rsidRPr="004A3BD7">
                              <w:rPr>
                                <w:rFonts w:eastAsia="等线" w:cs="Times New Roman" w:hint="eastAsia"/>
                                <w:kern w:val="0"/>
                                <w:szCs w:val="20"/>
                                <w:lang w:val="en-GB"/>
                              </w:rPr>
                              <w:t xml:space="preserve">the characteristics (e.g. </w:t>
                            </w:r>
                            <w:r w:rsidRPr="004A3BD7">
                              <w:rPr>
                                <w:rFonts w:eastAsia="等线" w:cs="Times New Roman"/>
                                <w:kern w:val="0"/>
                                <w:szCs w:val="20"/>
                                <w:lang w:val="en-GB"/>
                              </w:rPr>
                              <w:t>reliability</w:t>
                            </w:r>
                            <w:r w:rsidRPr="004A3BD7">
                              <w:rPr>
                                <w:rFonts w:eastAsia="等线" w:cs="Times New Roman" w:hint="eastAsia"/>
                                <w:kern w:val="0"/>
                                <w:szCs w:val="20"/>
                                <w:lang w:val="en-GB"/>
                              </w:rPr>
                              <w:t xml:space="preserve">, latency, data rate) of the carried traffic. </w:t>
                            </w:r>
                          </w:p>
                          <w:p w14:paraId="2926CB81" w14:textId="77777777" w:rsidR="004A3BD7" w:rsidRPr="004A3BD7" w:rsidRDefault="004A3BD7" w:rsidP="00C75F8D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0" w:before="0" w:afterLines="0" w:after="180"/>
                              <w:ind w:left="995" w:hanging="711"/>
                              <w:textAlignment w:val="baseline"/>
                              <w:rPr>
                                <w:rFonts w:eastAsia="宋体" w:cs="Times New Roman"/>
                                <w:color w:val="000000"/>
                                <w:kern w:val="0"/>
                                <w:shd w:val="clear" w:color="auto" w:fill="FFFFFF"/>
                              </w:rPr>
                            </w:pPr>
                            <w:r w:rsidRPr="004A3BD7">
                              <w:rPr>
                                <w:rFonts w:eastAsia="宋体" w:cs="Times New Roman"/>
                                <w:kern w:val="0"/>
                              </w:rPr>
                              <w:t xml:space="preserve">NOTE: </w:t>
                            </w:r>
                            <w:r w:rsidRPr="004A3BD7">
                              <w:rPr>
                                <w:rFonts w:eastAsia="宋体" w:cs="Times New Roman" w:hint="eastAsia"/>
                                <w:color w:val="000000"/>
                                <w:kern w:val="0"/>
                                <w:shd w:val="clear" w:color="auto" w:fill="FFFFFF"/>
                              </w:rPr>
                              <w:t>Non-3GPP satellite access technologies are not precluded for the feeder link (i.e. radio link between ground station and satellite).</w:t>
                            </w:r>
                          </w:p>
                          <w:bookmarkEnd w:id="39"/>
                          <w:bookmarkEnd w:id="40"/>
                          <w:p w14:paraId="7B4EC886" w14:textId="77777777" w:rsidR="004A3BD7" w:rsidRPr="004A3BD7" w:rsidRDefault="004A3BD7">
                            <w:pPr>
                              <w:spacing w:before="156" w:after="156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977F5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6.75pt;margin-top:53.45pt;width:449.45pt;height:146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">
                <v:textbox>
                  <w:txbxContent>
                    <w:p w14:paraId="5A766CBF" w14:textId="77777777" w:rsidR="004A3BD7" w:rsidRPr="004A3BD7" w:rsidRDefault="004A3BD7" w:rsidP="00C75F8D">
                      <w:pPr>
                        <w:spacing w:beforeLines="0" w:before="0" w:afterLines="0" w:after="180"/>
                        <w:rPr>
                          <w:rFonts w:eastAsia="等线" w:cs="Times New Roman"/>
                          <w:kern w:val="0"/>
                          <w:szCs w:val="20"/>
                          <w:lang w:val="en-GB"/>
                        </w:rPr>
                      </w:pPr>
                      <w:bookmarkStart w:id="39" w:name="OLE_LINK242"/>
                      <w:bookmarkStart w:id="40" w:name="OLE_LINK243"/>
                      <w:r w:rsidRPr="004A3BD7">
                        <w:rPr>
                          <w:rFonts w:eastAsia="等线" w:cs="Times New Roman"/>
                          <w:kern w:val="0"/>
                          <w:szCs w:val="20"/>
                          <w:lang w:val="en-GB"/>
                        </w:rPr>
                        <w:t xml:space="preserve">[PR 8.17.6-1] </w:t>
                      </w:r>
                      <w:bookmarkEnd w:id="39"/>
                      <w:bookmarkEnd w:id="40"/>
                      <w:r w:rsidRPr="004A3BD7">
                        <w:rPr>
                          <w:rFonts w:eastAsia="等线" w:cs="Times New Roman"/>
                          <w:kern w:val="0"/>
                          <w:szCs w:val="20"/>
                          <w:lang w:val="en-GB"/>
                        </w:rPr>
                        <w:t>Subject to operator’s policy, the 6G network shall support mechanisms to connect the base stations (</w:t>
                      </w:r>
                      <w:proofErr w:type="spellStart"/>
                      <w:r w:rsidRPr="004A3BD7">
                        <w:rPr>
                          <w:rFonts w:eastAsia="等线" w:cs="Times New Roman"/>
                          <w:kern w:val="0"/>
                          <w:szCs w:val="20"/>
                          <w:lang w:val="en-GB"/>
                        </w:rPr>
                        <w:t>onboard</w:t>
                      </w:r>
                      <w:proofErr w:type="spellEnd"/>
                      <w:r w:rsidRPr="004A3BD7">
                        <w:rPr>
                          <w:rFonts w:eastAsia="等线" w:cs="Times New Roman"/>
                          <w:kern w:val="0"/>
                          <w:szCs w:val="20"/>
                          <w:lang w:val="en-GB"/>
                        </w:rPr>
                        <w:t xml:space="preserve"> satellite) and the ground core networks using </w:t>
                      </w:r>
                      <w:bookmarkStart w:id="41" w:name="OLE_LINK260"/>
                      <w:bookmarkStart w:id="42" w:name="OLE_LINK258"/>
                      <w:bookmarkStart w:id="43" w:name="OLE_LINK259"/>
                      <w:r w:rsidRPr="004A3BD7">
                        <w:rPr>
                          <w:rFonts w:eastAsia="等线" w:cs="Times New Roman"/>
                          <w:kern w:val="0"/>
                          <w:szCs w:val="20"/>
                          <w:lang w:val="en-GB"/>
                        </w:rPr>
                        <w:t>3GPP technology.</w:t>
                      </w:r>
                    </w:p>
                    <w:bookmarkEnd w:id="41"/>
                    <w:bookmarkEnd w:id="42"/>
                    <w:bookmarkEnd w:id="43"/>
                    <w:p w14:paraId="0C36B0BC" w14:textId="77777777" w:rsidR="004A3BD7" w:rsidRPr="004A3BD7" w:rsidRDefault="004A3BD7" w:rsidP="00C75F8D">
                      <w:pPr>
                        <w:spacing w:beforeLines="0" w:before="0" w:afterLines="0" w:after="180"/>
                        <w:rPr>
                          <w:rFonts w:eastAsia="等线" w:cs="Times New Roman"/>
                          <w:kern w:val="0"/>
                          <w:szCs w:val="20"/>
                          <w:lang w:val="en-GB"/>
                        </w:rPr>
                      </w:pPr>
                      <w:r w:rsidRPr="004A3BD7">
                        <w:rPr>
                          <w:rFonts w:eastAsia="等线" w:cs="Times New Roman"/>
                          <w:kern w:val="0"/>
                          <w:szCs w:val="20"/>
                          <w:lang w:val="en-GB"/>
                        </w:rPr>
                        <w:t>[PR 8.17.6-</w:t>
                      </w:r>
                      <w:bookmarkStart w:id="44" w:name="OLE_LINK244"/>
                      <w:bookmarkStart w:id="45" w:name="OLE_LINK245"/>
                      <w:r w:rsidRPr="004A3BD7">
                        <w:rPr>
                          <w:rFonts w:eastAsia="等线" w:cs="Times New Roman" w:hint="eastAsia"/>
                          <w:kern w:val="0"/>
                          <w:szCs w:val="20"/>
                          <w:lang w:val="en-GB"/>
                        </w:rPr>
                        <w:t>2</w:t>
                      </w:r>
                      <w:bookmarkEnd w:id="44"/>
                      <w:bookmarkEnd w:id="45"/>
                      <w:r w:rsidRPr="004A3BD7">
                        <w:rPr>
                          <w:rFonts w:eastAsia="等线" w:cs="Times New Roman"/>
                          <w:kern w:val="0"/>
                          <w:szCs w:val="20"/>
                          <w:lang w:val="en-GB"/>
                        </w:rPr>
                        <w:t xml:space="preserve">] </w:t>
                      </w:r>
                      <w:bookmarkStart w:id="46" w:name="OLE_LINK247"/>
                      <w:bookmarkStart w:id="47" w:name="OLE_LINK246"/>
                      <w:r w:rsidRPr="004A3BD7">
                        <w:rPr>
                          <w:rFonts w:eastAsia="等线" w:cs="Times New Roman"/>
                          <w:kern w:val="0"/>
                          <w:szCs w:val="20"/>
                          <w:lang w:val="en-GB"/>
                        </w:rPr>
                        <w:t xml:space="preserve">Subject to the regulatory requirements and operator’s policy, the 6G </w:t>
                      </w:r>
                      <w:r w:rsidRPr="004A3BD7">
                        <w:rPr>
                          <w:rFonts w:eastAsia="等线" w:cs="Times New Roman" w:hint="eastAsia"/>
                          <w:kern w:val="0"/>
                          <w:szCs w:val="20"/>
                        </w:rPr>
                        <w:t xml:space="preserve">network </w:t>
                      </w:r>
                      <w:r w:rsidRPr="004A3BD7">
                        <w:rPr>
                          <w:rFonts w:eastAsia="等线" w:cs="Times New Roman"/>
                          <w:kern w:val="0"/>
                          <w:szCs w:val="20"/>
                          <w:lang w:val="en-GB"/>
                        </w:rPr>
                        <w:t>shall</w:t>
                      </w:r>
                      <w:r w:rsidRPr="004A3BD7">
                        <w:rPr>
                          <w:rFonts w:eastAsia="等线" w:cs="Times New Roman" w:hint="eastAsia"/>
                          <w:kern w:val="0"/>
                          <w:szCs w:val="20"/>
                        </w:rPr>
                        <w:t xml:space="preserve"> </w:t>
                      </w:r>
                      <w:r w:rsidRPr="004A3BD7">
                        <w:rPr>
                          <w:rFonts w:eastAsia="等线" w:cs="Times New Roman"/>
                          <w:kern w:val="0"/>
                          <w:szCs w:val="20"/>
                          <w:lang w:val="en-GB"/>
                        </w:rPr>
                        <w:t>support</w:t>
                      </w:r>
                      <w:r w:rsidRPr="004A3BD7">
                        <w:rPr>
                          <w:rFonts w:eastAsia="等线" w:cs="Times New Roman" w:hint="eastAsia"/>
                          <w:kern w:val="0"/>
                          <w:szCs w:val="20"/>
                          <w:lang w:val="en-GB"/>
                        </w:rPr>
                        <w:t xml:space="preserve"> </w:t>
                      </w:r>
                      <w:r w:rsidRPr="004A3BD7">
                        <w:rPr>
                          <w:rFonts w:eastAsia="等线" w:cs="Times New Roman"/>
                          <w:kern w:val="0"/>
                          <w:szCs w:val="20"/>
                        </w:rPr>
                        <w:t>a mechanism t</w:t>
                      </w:r>
                      <w:r w:rsidRPr="004A3BD7">
                        <w:rPr>
                          <w:rFonts w:eastAsia="等线" w:cs="Times New Roman" w:hint="eastAsia"/>
                          <w:kern w:val="0"/>
                          <w:szCs w:val="20"/>
                          <w:lang w:val="en-GB"/>
                        </w:rPr>
                        <w:t xml:space="preserve">o </w:t>
                      </w:r>
                      <w:bookmarkStart w:id="48" w:name="OLE_LINK420"/>
                      <w:bookmarkStart w:id="49" w:name="OLE_LINK421"/>
                      <w:r w:rsidRPr="004A3BD7">
                        <w:rPr>
                          <w:rFonts w:eastAsia="等线" w:cs="Times New Roman" w:hint="eastAsia"/>
                          <w:kern w:val="0"/>
                          <w:szCs w:val="20"/>
                          <w:lang w:val="en-GB"/>
                        </w:rPr>
                        <w:t xml:space="preserve">establish </w:t>
                      </w:r>
                      <w:bookmarkEnd w:id="48"/>
                      <w:bookmarkEnd w:id="49"/>
                      <w:r w:rsidRPr="004A3BD7">
                        <w:rPr>
                          <w:rFonts w:eastAsia="等线" w:cs="Times New Roman" w:hint="eastAsia"/>
                          <w:kern w:val="0"/>
                          <w:szCs w:val="20"/>
                        </w:rPr>
                        <w:t xml:space="preserve">an efficient </w:t>
                      </w:r>
                      <w:r w:rsidRPr="004A3BD7">
                        <w:rPr>
                          <w:rFonts w:eastAsia="等线" w:cs="Times New Roman" w:hint="eastAsia"/>
                          <w:kern w:val="0"/>
                          <w:szCs w:val="20"/>
                          <w:lang w:val="en-GB"/>
                        </w:rPr>
                        <w:t>connection between the base station (</w:t>
                      </w:r>
                      <w:proofErr w:type="spellStart"/>
                      <w:r w:rsidRPr="004A3BD7">
                        <w:rPr>
                          <w:rFonts w:eastAsia="等线" w:cs="Times New Roman" w:hint="eastAsia"/>
                          <w:kern w:val="0"/>
                          <w:szCs w:val="20"/>
                          <w:lang w:val="en-GB"/>
                        </w:rPr>
                        <w:t>onboard</w:t>
                      </w:r>
                      <w:proofErr w:type="spellEnd"/>
                      <w:r w:rsidRPr="004A3BD7">
                        <w:rPr>
                          <w:rFonts w:eastAsia="等线" w:cs="Times New Roman" w:hint="eastAsia"/>
                          <w:kern w:val="0"/>
                          <w:szCs w:val="20"/>
                          <w:lang w:val="en-GB"/>
                        </w:rPr>
                        <w:t xml:space="preserve"> satellite) and the ground core network</w:t>
                      </w:r>
                      <w:r w:rsidRPr="004A3BD7">
                        <w:rPr>
                          <w:rFonts w:eastAsia="等线" w:cs="Times New Roman" w:hint="eastAsia"/>
                          <w:kern w:val="0"/>
                          <w:szCs w:val="20"/>
                        </w:rPr>
                        <w:t xml:space="preserve"> considering </w:t>
                      </w:r>
                      <w:r w:rsidRPr="004A3BD7">
                        <w:rPr>
                          <w:rFonts w:eastAsia="等线" w:cs="Times New Roman" w:hint="eastAsia"/>
                          <w:kern w:val="0"/>
                          <w:szCs w:val="20"/>
                          <w:lang w:val="en-GB"/>
                        </w:rPr>
                        <w:t xml:space="preserve">the characteristics (e.g. </w:t>
                      </w:r>
                      <w:r w:rsidRPr="004A3BD7">
                        <w:rPr>
                          <w:rFonts w:eastAsia="等线" w:cs="Times New Roman"/>
                          <w:kern w:val="0"/>
                          <w:szCs w:val="20"/>
                          <w:lang w:val="en-GB"/>
                        </w:rPr>
                        <w:t>reliability</w:t>
                      </w:r>
                      <w:r w:rsidRPr="004A3BD7">
                        <w:rPr>
                          <w:rFonts w:eastAsia="等线" w:cs="Times New Roman" w:hint="eastAsia"/>
                          <w:kern w:val="0"/>
                          <w:szCs w:val="20"/>
                          <w:lang w:val="en-GB"/>
                        </w:rPr>
                        <w:t xml:space="preserve">, latency, data rate) of the carried traffic. </w:t>
                      </w:r>
                    </w:p>
                    <w:p w14:paraId="2926CB81" w14:textId="77777777" w:rsidR="004A3BD7" w:rsidRPr="004A3BD7" w:rsidRDefault="004A3BD7" w:rsidP="00C75F8D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Lines="0" w:before="0" w:afterLines="0" w:after="180"/>
                        <w:ind w:left="995" w:hanging="711"/>
                        <w:textAlignment w:val="baseline"/>
                        <w:rPr>
                          <w:rFonts w:eastAsia="宋体" w:cs="Times New Roman"/>
                          <w:color w:val="000000"/>
                          <w:kern w:val="0"/>
                          <w:shd w:val="clear" w:color="auto" w:fill="FFFFFF"/>
                        </w:rPr>
                      </w:pPr>
                      <w:r w:rsidRPr="004A3BD7">
                        <w:rPr>
                          <w:rFonts w:eastAsia="宋体" w:cs="Times New Roman"/>
                          <w:kern w:val="0"/>
                        </w:rPr>
                        <w:t xml:space="preserve">NOTE: </w:t>
                      </w:r>
                      <w:r w:rsidRPr="004A3BD7">
                        <w:rPr>
                          <w:rFonts w:eastAsia="宋体" w:cs="Times New Roman" w:hint="eastAsia"/>
                          <w:color w:val="000000"/>
                          <w:kern w:val="0"/>
                          <w:shd w:val="clear" w:color="auto" w:fill="FFFFFF"/>
                        </w:rPr>
                        <w:t>Non-3GPP satellite access technologies are not precluded for the feeder link (i.e. radio link between ground station and satellite).</w:t>
                      </w:r>
                    </w:p>
                    <w:bookmarkEnd w:id="46"/>
                    <w:bookmarkEnd w:id="47"/>
                    <w:p w14:paraId="7B4EC886" w14:textId="77777777" w:rsidR="004A3BD7" w:rsidRPr="004A3BD7" w:rsidRDefault="004A3BD7">
                      <w:pPr>
                        <w:spacing w:before="156" w:after="156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338E2">
        <w:rPr>
          <w:rFonts w:eastAsiaTheme="minorEastAsia" w:hint="eastAsia"/>
        </w:rPr>
        <w:t>In</w:t>
      </w:r>
      <w:r w:rsidR="00BC6A49">
        <w:rPr>
          <w:rFonts w:eastAsiaTheme="minorEastAsia" w:hint="eastAsia"/>
        </w:rPr>
        <w:t xml:space="preserve"> </w:t>
      </w:r>
      <w:r w:rsidR="007338E2">
        <w:rPr>
          <w:rFonts w:eastAsiaTheme="minorEastAsia" w:hint="eastAsia"/>
        </w:rPr>
        <w:t xml:space="preserve">[4], </w:t>
      </w:r>
      <w:r w:rsidR="009B5FDF">
        <w:rPr>
          <w:rFonts w:eastAsiaTheme="minorEastAsia" w:hint="eastAsia"/>
        </w:rPr>
        <w:t>t</w:t>
      </w:r>
      <w:r w:rsidR="003C5822">
        <w:t>he 6G network shall support mechanisms to connect the base stations (onboard satellite) and the ground core networks using 3GPP technology</w:t>
      </w:r>
      <w:r w:rsidR="003C5822">
        <w:rPr>
          <w:rFonts w:eastAsiaTheme="minorEastAsia" w:hint="eastAsia"/>
        </w:rPr>
        <w:t xml:space="preserve"> </w:t>
      </w:r>
      <w:r w:rsidR="00AE2F0C">
        <w:rPr>
          <w:rFonts w:eastAsia="宋体" w:hint="eastAsia"/>
        </w:rPr>
        <w:t>was agreed in</w:t>
      </w:r>
      <w:r w:rsidR="00381EEB">
        <w:rPr>
          <w:rFonts w:eastAsia="宋体" w:hint="eastAsia"/>
        </w:rPr>
        <w:t xml:space="preserve"> </w:t>
      </w:r>
      <w:r w:rsidR="00381EEB" w:rsidRPr="00381EEB">
        <w:rPr>
          <w:rFonts w:eastAsia="宋体"/>
        </w:rPr>
        <w:t>SA1#112</w:t>
      </w:r>
      <w:r w:rsidR="00381EEB">
        <w:rPr>
          <w:rFonts w:eastAsia="宋体" w:hint="eastAsia"/>
        </w:rPr>
        <w:t xml:space="preserve"> meeting</w:t>
      </w:r>
      <w:r w:rsidR="00AE2F0C" w:rsidRPr="00AE2F0C">
        <w:rPr>
          <w:rFonts w:eastAsia="宋体"/>
        </w:rPr>
        <w:t>.</w:t>
      </w:r>
    </w:p>
    <w:p w14:paraId="472D8AB8" w14:textId="46788E75" w:rsidR="004A3BD7" w:rsidRPr="009E080E" w:rsidRDefault="009E080E" w:rsidP="00AE2F0C">
      <w:pPr>
        <w:spacing w:before="156" w:after="156"/>
        <w:rPr>
          <w:rFonts w:eastAsia="宋体"/>
          <w:lang w:val="en-GB"/>
        </w:rPr>
      </w:pPr>
      <w:r>
        <w:rPr>
          <w:rFonts w:eastAsia="宋体" w:hint="eastAsia"/>
        </w:rPr>
        <w:lastRenderedPageBreak/>
        <w:t>F</w:t>
      </w:r>
      <w:r w:rsidRPr="009E080E">
        <w:rPr>
          <w:rFonts w:eastAsia="宋体"/>
        </w:rPr>
        <w:t>or regenerative architecture,</w:t>
      </w:r>
      <w:r w:rsidR="003C5822">
        <w:rPr>
          <w:rFonts w:eastAsia="宋体" w:hint="eastAsia"/>
        </w:rPr>
        <w:t xml:space="preserve"> in order to </w:t>
      </w:r>
      <w:r w:rsidR="002B21C2">
        <w:rPr>
          <w:rFonts w:eastAsia="宋体" w:hint="eastAsia"/>
        </w:rPr>
        <w:t>align with SA1</w:t>
      </w:r>
      <w:r w:rsidR="007D4FBD">
        <w:rPr>
          <w:rFonts w:eastAsia="宋体" w:hint="eastAsia"/>
        </w:rPr>
        <w:t xml:space="preserve">, </w:t>
      </w:r>
      <w:r w:rsidR="00997AE6" w:rsidRPr="00997AE6">
        <w:rPr>
          <w:rFonts w:eastAsia="宋体"/>
        </w:rPr>
        <w:t xml:space="preserve">even though </w:t>
      </w:r>
      <w:r w:rsidR="00997AE6">
        <w:rPr>
          <w:rFonts w:eastAsia="宋体" w:hint="eastAsia"/>
        </w:rPr>
        <w:t>n</w:t>
      </w:r>
      <w:r w:rsidR="00997AE6" w:rsidRPr="00997AE6">
        <w:rPr>
          <w:rFonts w:eastAsia="宋体"/>
        </w:rPr>
        <w:t>on-3GPP satellite access technologies are not precluded for the feeder link, 3GPP defined NTN access technology</w:t>
      </w:r>
      <w:r w:rsidR="00997AE6">
        <w:rPr>
          <w:rFonts w:eastAsia="宋体" w:hint="eastAsia"/>
        </w:rPr>
        <w:t xml:space="preserve"> should be considered</w:t>
      </w:r>
      <w:r w:rsidR="00997AE6" w:rsidRPr="00997AE6">
        <w:rPr>
          <w:rFonts w:eastAsia="宋体"/>
        </w:rPr>
        <w:t xml:space="preserve"> for feeder link transmission in NTN deployment scenarios. </w:t>
      </w:r>
    </w:p>
    <w:p w14:paraId="6B5DDB2D" w14:textId="1E5CD050" w:rsidR="001E7DA2" w:rsidRDefault="00753971" w:rsidP="001E7DA2">
      <w:pPr>
        <w:pStyle w:val="1st-Proposal-YJ"/>
        <w:tabs>
          <w:tab w:val="left" w:pos="0"/>
        </w:tabs>
        <w:spacing w:before="156" w:after="156"/>
        <w:rPr>
          <w:rFonts w:eastAsia="宋体"/>
          <w:i w:val="0"/>
          <w:iCs/>
        </w:rPr>
      </w:pPr>
      <w:bookmarkStart w:id="43" w:name="_Toc214987402"/>
      <w:bookmarkStart w:id="44" w:name="_Toc215048535"/>
      <w:bookmarkStart w:id="45" w:name="_Toc215078345"/>
      <w:bookmarkStart w:id="46" w:name="_Toc215078654"/>
      <w:r w:rsidRPr="00753971">
        <w:rPr>
          <w:rFonts w:eastAsia="宋体"/>
          <w:i w:val="0"/>
          <w:iCs/>
        </w:rPr>
        <w:t xml:space="preserve">For regenerative architecture, </w:t>
      </w:r>
      <w:r w:rsidR="00997AE6" w:rsidRPr="00997AE6">
        <w:rPr>
          <w:rFonts w:eastAsia="宋体"/>
          <w:i w:val="0"/>
          <w:iCs/>
        </w:rPr>
        <w:t xml:space="preserve">3GPP defined NTN access technology should be considered for feeder link transmission in </w:t>
      </w:r>
      <w:r w:rsidR="005748D7">
        <w:rPr>
          <w:rFonts w:eastAsia="宋体"/>
          <w:i w:val="0"/>
          <w:iCs/>
        </w:rPr>
        <w:t xml:space="preserve">6G </w:t>
      </w:r>
      <w:r w:rsidR="00997AE6" w:rsidRPr="00997AE6">
        <w:rPr>
          <w:rFonts w:eastAsia="宋体"/>
          <w:i w:val="0"/>
          <w:iCs/>
        </w:rPr>
        <w:t>NTN deployment scenarios.</w:t>
      </w:r>
      <w:bookmarkEnd w:id="43"/>
      <w:bookmarkEnd w:id="44"/>
      <w:bookmarkEnd w:id="45"/>
      <w:bookmarkEnd w:id="46"/>
    </w:p>
    <w:p w14:paraId="6C41132B" w14:textId="77777777" w:rsidR="000668D4" w:rsidRDefault="00D0356E" w:rsidP="00D0356E">
      <w:pPr>
        <w:pStyle w:val="1"/>
        <w:numPr>
          <w:ilvl w:val="0"/>
          <w:numId w:val="3"/>
        </w:numPr>
        <w:spacing w:before="156" w:after="156"/>
        <w:rPr>
          <w:noProof/>
        </w:rPr>
      </w:pPr>
      <w:r w:rsidRPr="00D0356E">
        <w:rPr>
          <w:rFonts w:eastAsia="宋体" w:hint="eastAsia"/>
          <w:sz w:val="28"/>
          <w:szCs w:val="28"/>
        </w:rPr>
        <w:t>Conclusion</w:t>
      </w:r>
      <w:bookmarkStart w:id="47" w:name="_Toc214987403"/>
      <w:bookmarkEnd w:id="47"/>
      <w:r>
        <w:rPr>
          <w:rFonts w:eastAsia="宋体"/>
          <w:sz w:val="28"/>
          <w:szCs w:val="28"/>
        </w:rPr>
        <w:fldChar w:fldCharType="begin"/>
      </w:r>
      <w:r w:rsidRPr="00363A18">
        <w:rPr>
          <w:rFonts w:eastAsia="宋体"/>
          <w:sz w:val="28"/>
          <w:szCs w:val="28"/>
        </w:rPr>
        <w:instrText xml:space="preserve"> TOC \n \t "1st-Proposal-YJ,1,2nd-proposal-YJ,2,3nd-proposal-YJ,3" </w:instrText>
      </w:r>
      <w:r>
        <w:rPr>
          <w:rFonts w:eastAsia="宋体"/>
          <w:sz w:val="28"/>
          <w:szCs w:val="28"/>
        </w:rPr>
        <w:fldChar w:fldCharType="separate"/>
      </w:r>
    </w:p>
    <w:p w14:paraId="17894E90" w14:textId="77777777" w:rsidR="000668D4" w:rsidRDefault="000668D4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757AEC">
        <w:rPr>
          <w:rFonts w:eastAsia="宋体"/>
          <w:noProof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757AEC">
        <w:rPr>
          <w:rFonts w:eastAsiaTheme="minorEastAsia"/>
          <w:i w:val="0"/>
          <w:noProof/>
        </w:rPr>
        <w:t>6G NTN shall support the</w:t>
      </w:r>
      <w:r>
        <w:rPr>
          <w:noProof/>
        </w:rPr>
        <w:t xml:space="preserve"> </w:t>
      </w:r>
      <w:r w:rsidRPr="00757AEC">
        <w:rPr>
          <w:rFonts w:eastAsiaTheme="minorEastAsia"/>
          <w:i w:val="0"/>
          <w:noProof/>
        </w:rPr>
        <w:t>one-beam cell and multi-beam cell with beam hopping and more than 8 SSBs per cell</w:t>
      </w:r>
      <w:r w:rsidRPr="00757AEC">
        <w:rPr>
          <w:rFonts w:eastAsia="宋体"/>
          <w:i w:val="0"/>
          <w:noProof/>
        </w:rPr>
        <w:t>.</w:t>
      </w:r>
    </w:p>
    <w:p w14:paraId="09979A32" w14:textId="356A649D" w:rsidR="000668D4" w:rsidRDefault="000668D4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757AEC">
        <w:rPr>
          <w:rFonts w:eastAsia="宋体"/>
          <w:iCs/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757AEC">
        <w:rPr>
          <w:rFonts w:eastAsia="宋体"/>
          <w:i w:val="0"/>
          <w:iCs/>
          <w:noProof/>
        </w:rPr>
        <w:t>6G NTN should support Quasi-Earth-Fixed case 2, in which cell coverage in two consecutive periods partly overlap</w:t>
      </w:r>
      <w:r>
        <w:rPr>
          <w:rFonts w:eastAsia="宋体"/>
          <w:i w:val="0"/>
          <w:iCs/>
          <w:noProof/>
        </w:rPr>
        <w:t>s</w:t>
      </w:r>
      <w:r w:rsidRPr="00757AEC">
        <w:rPr>
          <w:rFonts w:eastAsia="宋体"/>
          <w:i w:val="0"/>
          <w:iCs/>
          <w:noProof/>
        </w:rPr>
        <w:t xml:space="preserve"> in multi-beam deployment.</w:t>
      </w:r>
    </w:p>
    <w:p w14:paraId="18032644" w14:textId="61F75F74" w:rsidR="000668D4" w:rsidRDefault="000668D4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757AEC">
        <w:rPr>
          <w:rFonts w:eastAsia="宋体"/>
          <w:iCs/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757AEC">
        <w:rPr>
          <w:rFonts w:eastAsia="宋体"/>
          <w:i w:val="0"/>
          <w:iCs/>
          <w:noProof/>
        </w:rPr>
        <w:t xml:space="preserve">For regenerative architecture, 3GPP defined NTN access technology should be considered for feeder link transmission in </w:t>
      </w:r>
      <w:r w:rsidR="0079384F">
        <w:rPr>
          <w:rFonts w:eastAsia="宋体"/>
          <w:i w:val="0"/>
          <w:iCs/>
          <w:noProof/>
        </w:rPr>
        <w:t xml:space="preserve">6G </w:t>
      </w:r>
      <w:r w:rsidRPr="00757AEC">
        <w:rPr>
          <w:rFonts w:eastAsia="宋体"/>
          <w:i w:val="0"/>
          <w:iCs/>
          <w:noProof/>
        </w:rPr>
        <w:t>NTN deployment scenarios.</w:t>
      </w:r>
    </w:p>
    <w:p w14:paraId="77A40048" w14:textId="4859B7CC" w:rsidR="00D0356E" w:rsidRPr="00D0356E" w:rsidRDefault="00D0356E" w:rsidP="00D0356E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4"/>
          <w14:ligatures w14:val="standardContextual"/>
        </w:rPr>
      </w:pPr>
      <w:r>
        <w:rPr>
          <w:rFonts w:eastAsiaTheme="minorEastAsia"/>
        </w:rPr>
        <w:fldChar w:fldCharType="end"/>
      </w:r>
    </w:p>
    <w:p w14:paraId="2C840AC4" w14:textId="17D5001E" w:rsidR="008A70B4" w:rsidRPr="00E7665A" w:rsidRDefault="008A70B4" w:rsidP="008A70B4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bookmarkStart w:id="48" w:name="_Toc72766956"/>
      <w:bookmarkStart w:id="49" w:name="_Toc72767065"/>
      <w:bookmarkStart w:id="50" w:name="_Toc72767318"/>
      <w:bookmarkStart w:id="51" w:name="_Toc72767334"/>
      <w:bookmarkStart w:id="52" w:name="_Toc72767350"/>
      <w:bookmarkStart w:id="53" w:name="_Toc72767708"/>
      <w:bookmarkStart w:id="54" w:name="_Toc72767724"/>
      <w:bookmarkStart w:id="55" w:name="_Toc72767732"/>
      <w:bookmarkStart w:id="56" w:name="_Toc72768057"/>
      <w:bookmarkStart w:id="57" w:name="_Toc72768065"/>
      <w:bookmarkStart w:id="58" w:name="_Toc73092068"/>
      <w:bookmarkStart w:id="59" w:name="_Toc73094087"/>
      <w:bookmarkStart w:id="60" w:name="_Toc72766943"/>
      <w:bookmarkStart w:id="61" w:name="_Toc72165929"/>
      <w:bookmarkStart w:id="62" w:name="_Toc72166112"/>
      <w:bookmarkStart w:id="63" w:name="_Toc72166124"/>
      <w:bookmarkStart w:id="64" w:name="_Toc72166136"/>
      <w:bookmarkStart w:id="65" w:name="_Toc72166211"/>
      <w:bookmarkStart w:id="66" w:name="_Toc72166219"/>
      <w:bookmarkStart w:id="67" w:name="_Toc72764093"/>
      <w:bookmarkStart w:id="68" w:name="_Toc72764101"/>
      <w:bookmarkStart w:id="69" w:name="_Toc72764109"/>
      <w:bookmarkStart w:id="70" w:name="_Toc72764117"/>
      <w:bookmarkStart w:id="71" w:name="_Toc72766759"/>
      <w:bookmarkStart w:id="72" w:name="_Toc72766944"/>
      <w:bookmarkStart w:id="73" w:name="_Toc72767053"/>
      <w:bookmarkStart w:id="74" w:name="_Toc72767322"/>
      <w:bookmarkStart w:id="75" w:name="_Toc72767338"/>
      <w:bookmarkStart w:id="76" w:name="_Toc72767354"/>
      <w:bookmarkStart w:id="77" w:name="_Toc72165931"/>
      <w:bookmarkStart w:id="78" w:name="_Toc72166114"/>
      <w:bookmarkStart w:id="79" w:name="_Toc72166126"/>
      <w:bookmarkStart w:id="80" w:name="_Toc72166138"/>
      <w:bookmarkStart w:id="81" w:name="_Toc72166213"/>
      <w:bookmarkStart w:id="82" w:name="_Toc72166221"/>
      <w:bookmarkStart w:id="83" w:name="_Toc72764095"/>
      <w:bookmarkStart w:id="84" w:name="_Toc72764103"/>
      <w:bookmarkStart w:id="85" w:name="_Toc72764111"/>
      <w:bookmarkStart w:id="86" w:name="_Toc72764119"/>
      <w:bookmarkStart w:id="87" w:name="_Toc72767704"/>
      <w:bookmarkStart w:id="88" w:name="_Toc72767720"/>
      <w:bookmarkStart w:id="89" w:name="_Toc72767728"/>
      <w:bookmarkStart w:id="90" w:name="_Toc72768053"/>
      <w:bookmarkStart w:id="91" w:name="_Toc72768061"/>
      <w:bookmarkStart w:id="92" w:name="_Toc73092064"/>
      <w:bookmarkStart w:id="93" w:name="_Toc73094083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>
        <w:rPr>
          <w:rFonts w:eastAsia="宋体"/>
          <w:sz w:val="28"/>
          <w:szCs w:val="28"/>
        </w:rPr>
        <w:t>Reference</w:t>
      </w:r>
    </w:p>
    <w:p w14:paraId="609DCE9A" w14:textId="532EFFEB" w:rsidR="008A70B4" w:rsidRDefault="004167F1" w:rsidP="00B04397">
      <w:pPr>
        <w:pStyle w:val="a3"/>
        <w:numPr>
          <w:ilvl w:val="0"/>
          <w:numId w:val="4"/>
        </w:numPr>
        <w:ind w:firstLineChars="0"/>
        <w:rPr>
          <w:rFonts w:eastAsiaTheme="minorEastAsia"/>
        </w:rPr>
      </w:pPr>
      <w:r w:rsidRPr="004167F1">
        <w:rPr>
          <w:rFonts w:eastAsiaTheme="minorEastAsia"/>
        </w:rPr>
        <w:t>RP-252882</w:t>
      </w:r>
      <w:r w:rsidR="007824C4" w:rsidRPr="007824C4">
        <w:rPr>
          <w:rFonts w:eastAsiaTheme="minorEastAsia"/>
        </w:rPr>
        <w:t xml:space="preserve">, </w:t>
      </w:r>
      <w:r w:rsidRPr="004167F1">
        <w:rPr>
          <w:rFonts w:eastAsiaTheme="minorEastAsia"/>
        </w:rPr>
        <w:t>TR 38.914 v0.2.0 for Study on 6G Scenarios and requirements</w:t>
      </w:r>
      <w:r w:rsidR="007824C4" w:rsidRPr="007824C4">
        <w:rPr>
          <w:rFonts w:eastAsiaTheme="minorEastAsia"/>
        </w:rPr>
        <w:t>, 3GPP TSG#10</w:t>
      </w:r>
      <w:r>
        <w:rPr>
          <w:rFonts w:eastAsiaTheme="minorEastAsia" w:hint="eastAsia"/>
        </w:rPr>
        <w:t>9</w:t>
      </w:r>
      <w:r w:rsidR="007824C4" w:rsidRPr="007824C4">
        <w:rPr>
          <w:rFonts w:eastAsiaTheme="minorEastAsia"/>
        </w:rPr>
        <w:t xml:space="preserve">, </w:t>
      </w:r>
      <w:r>
        <w:t>Beijing, China, September 15-18, 2025</w:t>
      </w:r>
    </w:p>
    <w:p w14:paraId="1DF7C5CA" w14:textId="77777777" w:rsidR="00C30AF0" w:rsidRDefault="00C30AF0" w:rsidP="00C30AF0">
      <w:pPr>
        <w:pStyle w:val="a3"/>
        <w:numPr>
          <w:ilvl w:val="0"/>
          <w:numId w:val="4"/>
        </w:numPr>
        <w:spacing w:before="156" w:after="156"/>
        <w:ind w:firstLineChars="0"/>
        <w:rPr>
          <w:rFonts w:eastAsiaTheme="minorEastAsia"/>
        </w:rPr>
      </w:pPr>
      <w:r>
        <w:rPr>
          <w:rFonts w:eastAsiaTheme="minorEastAsia" w:hint="eastAsia"/>
        </w:rPr>
        <w:t>TR 38.821, Solutions for NR to support non-terrestrial networks (NTN), v16.2.0</w:t>
      </w:r>
    </w:p>
    <w:p w14:paraId="456B940C" w14:textId="77777777" w:rsidR="00C30AF0" w:rsidRDefault="00C30AF0" w:rsidP="00C30AF0">
      <w:pPr>
        <w:pStyle w:val="a3"/>
        <w:numPr>
          <w:ilvl w:val="0"/>
          <w:numId w:val="4"/>
        </w:numPr>
        <w:spacing w:before="156" w:after="156"/>
        <w:ind w:firstLineChars="0"/>
        <w:rPr>
          <w:rFonts w:eastAsiaTheme="minorEastAsia"/>
        </w:rPr>
      </w:pPr>
      <w:r>
        <w:rPr>
          <w:rFonts w:eastAsiaTheme="minorEastAsia" w:hint="eastAsia"/>
        </w:rPr>
        <w:t>TS 38.300, NR and NG-RAN Overall Description, v18.6.0</w:t>
      </w:r>
    </w:p>
    <w:p w14:paraId="15594D50" w14:textId="38393AAB" w:rsidR="00C30AF0" w:rsidRDefault="001E7DA2" w:rsidP="00B04397">
      <w:pPr>
        <w:pStyle w:val="a3"/>
        <w:numPr>
          <w:ilvl w:val="0"/>
          <w:numId w:val="4"/>
        </w:numPr>
        <w:ind w:firstLineChars="0"/>
        <w:rPr>
          <w:rFonts w:eastAsiaTheme="minorEastAsia"/>
        </w:rPr>
      </w:pPr>
      <w:r w:rsidRPr="001E7DA2">
        <w:rPr>
          <w:rFonts w:eastAsiaTheme="minorEastAsia"/>
        </w:rPr>
        <w:t>S1-254403</w:t>
      </w:r>
      <w:r>
        <w:rPr>
          <w:rFonts w:eastAsiaTheme="minorEastAsia" w:hint="eastAsia"/>
        </w:rPr>
        <w:t>,</w:t>
      </w:r>
      <w:r w:rsidR="004A46D3" w:rsidRPr="004A46D3">
        <w:t xml:space="preserve"> </w:t>
      </w:r>
      <w:r w:rsidR="004A46D3" w:rsidRPr="004A46D3">
        <w:rPr>
          <w:rFonts w:eastAsiaTheme="minorEastAsia"/>
        </w:rPr>
        <w:t>Update 8.17 UC on 6G Satellite backhaul</w:t>
      </w:r>
      <w:r w:rsidR="004A46D3">
        <w:rPr>
          <w:rFonts w:eastAsiaTheme="minorEastAsia" w:hint="eastAsia"/>
        </w:rPr>
        <w:t xml:space="preserve">, </w:t>
      </w:r>
      <w:r w:rsidR="004A46D3" w:rsidRPr="004A46D3">
        <w:rPr>
          <w:rFonts w:eastAsiaTheme="minorEastAsia"/>
        </w:rPr>
        <w:t>3GPP TSG SA WG 1 Meeting #112</w:t>
      </w:r>
      <w:r w:rsidR="004A46D3">
        <w:rPr>
          <w:rFonts w:eastAsiaTheme="minorEastAsia" w:hint="eastAsia"/>
        </w:rPr>
        <w:t xml:space="preserve">, </w:t>
      </w:r>
      <w:r w:rsidR="004A46D3" w:rsidRPr="004A46D3">
        <w:rPr>
          <w:rFonts w:eastAsiaTheme="minorEastAsia"/>
        </w:rPr>
        <w:t>Baltimore, USA, December 15-18th, 2025</w:t>
      </w:r>
    </w:p>
    <w:sectPr w:rsidR="00C30AF0" w:rsidSect="00E7665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F71CD" w14:textId="77777777" w:rsidR="00E04F03" w:rsidRDefault="00E04F03" w:rsidP="008242C1">
      <w:pPr>
        <w:spacing w:before="120" w:after="120"/>
      </w:pPr>
      <w:r>
        <w:separator/>
      </w:r>
    </w:p>
    <w:p w14:paraId="5D4D79FF" w14:textId="77777777" w:rsidR="00E04F03" w:rsidRDefault="00E04F03">
      <w:pPr>
        <w:spacing w:before="120" w:after="120"/>
      </w:pPr>
    </w:p>
  </w:endnote>
  <w:endnote w:type="continuationSeparator" w:id="0">
    <w:p w14:paraId="4E1AB523" w14:textId="77777777" w:rsidR="00E04F03" w:rsidRDefault="00E04F03" w:rsidP="008242C1">
      <w:pPr>
        <w:spacing w:before="120" w:after="120"/>
      </w:pPr>
      <w:r>
        <w:continuationSeparator/>
      </w:r>
    </w:p>
    <w:p w14:paraId="71A3D32F" w14:textId="77777777" w:rsidR="00E04F03" w:rsidRDefault="00E04F03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A71E4" w14:textId="77777777" w:rsidR="008242C1" w:rsidRDefault="008242C1">
    <w:pPr>
      <w:pStyle w:val="a7"/>
      <w:spacing w:before="120" w:after="120"/>
    </w:pPr>
  </w:p>
  <w:p w14:paraId="3CC00F45" w14:textId="77777777" w:rsidR="00440EFE" w:rsidRDefault="00440EFE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2756EA3" w14:textId="0F07914F" w:rsidR="008242C1" w:rsidRPr="007B2F6F" w:rsidRDefault="007B2F6F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047A3D" w:rsidRPr="00047A3D">
          <w:rPr>
            <w:noProof/>
            <w:sz w:val="20"/>
            <w:szCs w:val="20"/>
            <w:lang w:val="zh-CN"/>
          </w:rPr>
          <w:t>4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EAD01" w14:textId="77777777" w:rsidR="008242C1" w:rsidRDefault="008242C1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A4FDF" w14:textId="77777777" w:rsidR="00E04F03" w:rsidRDefault="00E04F03" w:rsidP="008242C1">
      <w:pPr>
        <w:spacing w:before="120" w:after="120"/>
      </w:pPr>
      <w:r>
        <w:separator/>
      </w:r>
    </w:p>
    <w:p w14:paraId="19371407" w14:textId="77777777" w:rsidR="00E04F03" w:rsidRDefault="00E04F03">
      <w:pPr>
        <w:spacing w:before="120" w:after="120"/>
      </w:pPr>
    </w:p>
  </w:footnote>
  <w:footnote w:type="continuationSeparator" w:id="0">
    <w:p w14:paraId="5C0D7FCC" w14:textId="77777777" w:rsidR="00E04F03" w:rsidRDefault="00E04F03" w:rsidP="008242C1">
      <w:pPr>
        <w:spacing w:before="120" w:after="120"/>
      </w:pPr>
      <w:r>
        <w:continuationSeparator/>
      </w:r>
    </w:p>
    <w:p w14:paraId="0CEC9924" w14:textId="77777777" w:rsidR="00E04F03" w:rsidRDefault="00E04F03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84EA8" w14:textId="77777777" w:rsidR="008242C1" w:rsidRDefault="008242C1">
    <w:pPr>
      <w:pStyle w:val="a5"/>
      <w:spacing w:before="120" w:after="120"/>
    </w:pPr>
  </w:p>
  <w:p w14:paraId="16CE4BA4" w14:textId="77777777" w:rsidR="00440EFE" w:rsidRDefault="00440EFE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9F81D" w14:textId="77777777" w:rsidR="00440EFE" w:rsidRPr="007B2F6F" w:rsidRDefault="00440EFE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39C7F" w14:textId="77777777" w:rsidR="008242C1" w:rsidRDefault="008242C1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601C9B"/>
    <w:multiLevelType w:val="singleLevel"/>
    <w:tmpl w:val="E8601C9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CE8433D"/>
    <w:multiLevelType w:val="hybridMultilevel"/>
    <w:tmpl w:val="72EC2C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EE278C"/>
    <w:multiLevelType w:val="hybridMultilevel"/>
    <w:tmpl w:val="2FC6357C"/>
    <w:lvl w:ilvl="0" w:tplc="58DA0D28">
      <w:start w:val="1"/>
      <w:numFmt w:val="decimal"/>
      <w:lvlText w:val="Option %1: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1B0C3FD0"/>
    <w:multiLevelType w:val="multilevel"/>
    <w:tmpl w:val="9DC63BD8"/>
    <w:lvl w:ilvl="0">
      <w:start w:val="1"/>
      <w:numFmt w:val="decimal"/>
      <w:lvlText w:val="Case %1"/>
      <w:lvlJc w:val="left"/>
      <w:pPr>
        <w:ind w:left="425" w:firstLine="0"/>
      </w:pPr>
      <w:rPr>
        <w:rFonts w:ascii="Times New Roman" w:eastAsia="宋体" w:hAnsi="Times New Roman" w:hint="eastAsia"/>
        <w:sz w:val="20"/>
      </w:rPr>
    </w:lvl>
    <w:lvl w:ilvl="1">
      <w:start w:val="1"/>
      <w:numFmt w:val="decimal"/>
      <w:lvlText w:val="Case %1.%2:"/>
      <w:lvlJc w:val="left"/>
      <w:pPr>
        <w:ind w:left="2381" w:hanging="1531"/>
      </w:pPr>
      <w:rPr>
        <w:rFonts w:ascii="Times New Roman" w:eastAsia="宋体" w:hAnsi="Times New Roman" w:hint="eastAsia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24AE724F"/>
    <w:multiLevelType w:val="multilevel"/>
    <w:tmpl w:val="61A464A4"/>
    <w:lvl w:ilvl="0">
      <w:start w:val="1"/>
      <w:numFmt w:val="decimal"/>
      <w:lvlText w:val="Case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Case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29445E4A"/>
    <w:multiLevelType w:val="multilevel"/>
    <w:tmpl w:val="29445E4A"/>
    <w:lvl w:ilvl="0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0015EFF"/>
    <w:multiLevelType w:val="hybridMultilevel"/>
    <w:tmpl w:val="DF6A9B70"/>
    <w:lvl w:ilvl="0" w:tplc="AE2C713E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10" w15:restartNumberingAfterBreak="0">
    <w:nsid w:val="31321703"/>
    <w:multiLevelType w:val="multilevel"/>
    <w:tmpl w:val="372AA324"/>
    <w:lvl w:ilvl="0">
      <w:start w:val="1"/>
      <w:numFmt w:val="decim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1" w15:restartNumberingAfterBreak="0">
    <w:nsid w:val="339F2447"/>
    <w:multiLevelType w:val="multilevel"/>
    <w:tmpl w:val="339F2447"/>
    <w:lvl w:ilvl="0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3" w15:restartNumberingAfterBreak="0">
    <w:nsid w:val="38235322"/>
    <w:multiLevelType w:val="hybridMultilevel"/>
    <w:tmpl w:val="9F6A3D2C"/>
    <w:lvl w:ilvl="0" w:tplc="3FF64612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0172E2"/>
    <w:multiLevelType w:val="hybridMultilevel"/>
    <w:tmpl w:val="3DB49B5C"/>
    <w:lvl w:ilvl="0" w:tplc="C89A79BC">
      <w:start w:val="1"/>
      <w:numFmt w:val="bullet"/>
      <w:lvlText w:val="−"/>
      <w:lvlJc w:val="left"/>
      <w:pPr>
        <w:ind w:left="1259" w:hanging="42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)"/>
      <w:lvlJc w:val="left"/>
      <w:pPr>
        <w:ind w:left="1679" w:hanging="420"/>
      </w:pPr>
    </w:lvl>
    <w:lvl w:ilvl="2" w:tplc="0409001B" w:tentative="1">
      <w:start w:val="1"/>
      <w:numFmt w:val="lowerRoman"/>
      <w:lvlText w:val="%3."/>
      <w:lvlJc w:val="right"/>
      <w:pPr>
        <w:ind w:left="2099" w:hanging="420"/>
      </w:pPr>
    </w:lvl>
    <w:lvl w:ilvl="3" w:tplc="0409000F" w:tentative="1">
      <w:start w:val="1"/>
      <w:numFmt w:val="decimal"/>
      <w:lvlText w:val="%4."/>
      <w:lvlJc w:val="left"/>
      <w:pPr>
        <w:ind w:left="2519" w:hanging="420"/>
      </w:pPr>
    </w:lvl>
    <w:lvl w:ilvl="4" w:tplc="04090019" w:tentative="1">
      <w:start w:val="1"/>
      <w:numFmt w:val="lowerLetter"/>
      <w:lvlText w:val="%5)"/>
      <w:lvlJc w:val="left"/>
      <w:pPr>
        <w:ind w:left="2939" w:hanging="420"/>
      </w:pPr>
    </w:lvl>
    <w:lvl w:ilvl="5" w:tplc="0409001B" w:tentative="1">
      <w:start w:val="1"/>
      <w:numFmt w:val="lowerRoman"/>
      <w:lvlText w:val="%6."/>
      <w:lvlJc w:val="right"/>
      <w:pPr>
        <w:ind w:left="3359" w:hanging="420"/>
      </w:pPr>
    </w:lvl>
    <w:lvl w:ilvl="6" w:tplc="0409000F" w:tentative="1">
      <w:start w:val="1"/>
      <w:numFmt w:val="decimal"/>
      <w:lvlText w:val="%7."/>
      <w:lvlJc w:val="left"/>
      <w:pPr>
        <w:ind w:left="3779" w:hanging="420"/>
      </w:pPr>
    </w:lvl>
    <w:lvl w:ilvl="7" w:tplc="04090019" w:tentative="1">
      <w:start w:val="1"/>
      <w:numFmt w:val="lowerLetter"/>
      <w:lvlText w:val="%8)"/>
      <w:lvlJc w:val="left"/>
      <w:pPr>
        <w:ind w:left="4199" w:hanging="420"/>
      </w:pPr>
    </w:lvl>
    <w:lvl w:ilvl="8" w:tplc="0409001B" w:tentative="1">
      <w:start w:val="1"/>
      <w:numFmt w:val="lowerRoman"/>
      <w:lvlText w:val="%9."/>
      <w:lvlJc w:val="right"/>
      <w:pPr>
        <w:ind w:left="4619" w:hanging="420"/>
      </w:pPr>
    </w:lvl>
  </w:abstractNum>
  <w:abstractNum w:abstractNumId="15" w15:restartNumberingAfterBreak="0">
    <w:nsid w:val="422371E9"/>
    <w:multiLevelType w:val="multilevel"/>
    <w:tmpl w:val="581E00AE"/>
    <w:lvl w:ilvl="0">
      <w:start w:val="1"/>
      <w:numFmt w:val="decimal"/>
      <w:lvlText w:val="Option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Option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6" w15:restartNumberingAfterBreak="0">
    <w:nsid w:val="46C95DD9"/>
    <w:multiLevelType w:val="hybridMultilevel"/>
    <w:tmpl w:val="E6223BBE"/>
    <w:lvl w:ilvl="0" w:tplc="04384AA2">
      <w:start w:val="1"/>
      <w:numFmt w:val="decimal"/>
      <w:lvlText w:val="Case %1:"/>
      <w:lvlJc w:val="left"/>
      <w:pPr>
        <w:ind w:left="420" w:hanging="420"/>
      </w:pPr>
      <w:rPr>
        <w:rFonts w:ascii="Times New Roman" w:eastAsia="宋体" w:hAnsi="Times New Roman" w:hint="default"/>
        <w:sz w:val="20"/>
      </w:rPr>
    </w:lvl>
    <w:lvl w:ilvl="1" w:tplc="F2867F5E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C912262"/>
    <w:multiLevelType w:val="multilevel"/>
    <w:tmpl w:val="0B9A51E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4D7D0BD3"/>
    <w:multiLevelType w:val="multilevel"/>
    <w:tmpl w:val="05FAAC4E"/>
    <w:lvl w:ilvl="0">
      <w:start w:val="1"/>
      <w:numFmt w:val="decimal"/>
      <w:lvlText w:val="%1."/>
      <w:lvlJc w:val="left"/>
      <w:pPr>
        <w:ind w:left="425" w:hanging="425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56641541"/>
    <w:multiLevelType w:val="multilevel"/>
    <w:tmpl w:val="E9FE5CCA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0" w15:restartNumberingAfterBreak="0">
    <w:nsid w:val="576458C1"/>
    <w:multiLevelType w:val="hybridMultilevel"/>
    <w:tmpl w:val="70DAB664"/>
    <w:lvl w:ilvl="0" w:tplc="7604F3C0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86CE04B6">
      <w:start w:val="1"/>
      <w:numFmt w:val="bullet"/>
      <w:lvlText w:val="−"/>
      <w:lvlJc w:val="left"/>
      <w:pPr>
        <w:ind w:left="1260" w:hanging="420"/>
      </w:pPr>
      <w:rPr>
        <w:rFonts w:ascii="Verdana" w:hAnsi="Verdana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E3558D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61AB2976"/>
    <w:multiLevelType w:val="multilevel"/>
    <w:tmpl w:val="E1ECA554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3" w15:restartNumberingAfterBreak="0">
    <w:nsid w:val="69BA42A6"/>
    <w:multiLevelType w:val="hybridMultilevel"/>
    <w:tmpl w:val="283A80BC"/>
    <w:lvl w:ilvl="0" w:tplc="FE3CEF3E">
      <w:start w:val="1"/>
      <w:numFmt w:val="bullet"/>
      <w:lvlText w:val="○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2D476C6"/>
    <w:multiLevelType w:val="hybridMultilevel"/>
    <w:tmpl w:val="0D26B87E"/>
    <w:lvl w:ilvl="0" w:tplc="86CE04B6">
      <w:start w:val="1"/>
      <w:numFmt w:val="bullet"/>
      <w:lvlText w:val="−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216C50"/>
    <w:multiLevelType w:val="multilevel"/>
    <w:tmpl w:val="7421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B464B"/>
    <w:multiLevelType w:val="hybridMultilevel"/>
    <w:tmpl w:val="9B520748"/>
    <w:lvl w:ilvl="0" w:tplc="D3EA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5244AAE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1D0EF8"/>
    <w:multiLevelType w:val="hybridMultilevel"/>
    <w:tmpl w:val="9CE47A1E"/>
    <w:lvl w:ilvl="0" w:tplc="C79C5B4E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91DE94F6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F232A4A"/>
    <w:multiLevelType w:val="hybridMultilevel"/>
    <w:tmpl w:val="3AAC2D96"/>
    <w:lvl w:ilvl="0" w:tplc="0624E7FA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8"/>
  </w:num>
  <w:num w:numId="4">
    <w:abstractNumId w:val="1"/>
  </w:num>
  <w:num w:numId="5">
    <w:abstractNumId w:val="17"/>
  </w:num>
  <w:num w:numId="6">
    <w:abstractNumId w:val="24"/>
  </w:num>
  <w:num w:numId="7">
    <w:abstractNumId w:val="13"/>
  </w:num>
  <w:num w:numId="8">
    <w:abstractNumId w:val="13"/>
  </w:num>
  <w:num w:numId="9">
    <w:abstractNumId w:val="10"/>
  </w:num>
  <w:num w:numId="10">
    <w:abstractNumId w:val="22"/>
  </w:num>
  <w:num w:numId="11">
    <w:abstractNumId w:val="28"/>
  </w:num>
  <w:num w:numId="12">
    <w:abstractNumId w:val="27"/>
  </w:num>
  <w:num w:numId="13">
    <w:abstractNumId w:val="20"/>
  </w:num>
  <w:num w:numId="14">
    <w:abstractNumId w:val="14"/>
  </w:num>
  <w:num w:numId="15">
    <w:abstractNumId w:val="28"/>
  </w:num>
  <w:num w:numId="16">
    <w:abstractNumId w:val="9"/>
  </w:num>
  <w:num w:numId="17">
    <w:abstractNumId w:val="14"/>
  </w:num>
  <w:num w:numId="18">
    <w:abstractNumId w:val="16"/>
  </w:num>
  <w:num w:numId="19">
    <w:abstractNumId w:val="16"/>
  </w:num>
  <w:num w:numId="20">
    <w:abstractNumId w:val="4"/>
  </w:num>
  <w:num w:numId="21">
    <w:abstractNumId w:val="4"/>
  </w:num>
  <w:num w:numId="22">
    <w:abstractNumId w:val="16"/>
  </w:num>
  <w:num w:numId="23">
    <w:abstractNumId w:val="6"/>
    <w:lvlOverride w:ilvl="0">
      <w:lvl w:ilvl="0">
        <w:start w:val="1"/>
        <w:numFmt w:val="decimal"/>
        <w:lvlText w:val="Case %1"/>
        <w:lvlJc w:val="left"/>
        <w:pPr>
          <w:ind w:left="425" w:firstLine="0"/>
        </w:pPr>
        <w:rPr>
          <w:rFonts w:ascii="Times New Roman" w:eastAsia="宋体" w:hAnsi="Times New Roman" w:hint="eastAsia"/>
          <w:sz w:val="20"/>
        </w:rPr>
      </w:lvl>
    </w:lvlOverride>
    <w:lvlOverride w:ilvl="1">
      <w:lvl w:ilvl="1">
        <w:start w:val="1"/>
        <w:numFmt w:val="decimal"/>
        <w:lvlText w:val="Case %1.%2:"/>
        <w:lvlJc w:val="left"/>
        <w:pPr>
          <w:ind w:left="2381" w:hanging="1531"/>
        </w:pPr>
        <w:rPr>
          <w:rFonts w:ascii="Times New Roman" w:eastAsia="宋体" w:hAnsi="Times New Roman" w:hint="eastAsia"/>
          <w:sz w:val="20"/>
        </w:rPr>
      </w:lvl>
    </w:lvlOverride>
  </w:num>
  <w:num w:numId="24">
    <w:abstractNumId w:val="7"/>
  </w:num>
  <w:num w:numId="25">
    <w:abstractNumId w:val="15"/>
  </w:num>
  <w:num w:numId="26">
    <w:abstractNumId w:val="12"/>
  </w:num>
  <w:num w:numId="27">
    <w:abstractNumId w:val="19"/>
  </w:num>
  <w:num w:numId="28">
    <w:abstractNumId w:val="5"/>
  </w:num>
  <w:num w:numId="29">
    <w:abstractNumId w:val="5"/>
  </w:num>
  <w:num w:numId="30">
    <w:abstractNumId w:val="12"/>
  </w:num>
  <w:num w:numId="31">
    <w:abstractNumId w:val="12"/>
  </w:num>
  <w:num w:numId="32">
    <w:abstractNumId w:val="5"/>
  </w:num>
  <w:num w:numId="33">
    <w:abstractNumId w:val="21"/>
  </w:num>
  <w:num w:numId="34">
    <w:abstractNumId w:val="26"/>
  </w:num>
  <w:num w:numId="35">
    <w:abstractNumId w:val="23"/>
  </w:num>
  <w:num w:numId="36">
    <w:abstractNumId w:val="25"/>
  </w:num>
  <w:num w:numId="37">
    <w:abstractNumId w:val="0"/>
  </w:num>
  <w:num w:numId="38">
    <w:abstractNumId w:val="11"/>
  </w:num>
  <w:num w:numId="39">
    <w:abstractNumId w:val="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21285"/>
    <w:rsid w:val="0002304C"/>
    <w:rsid w:val="000250C3"/>
    <w:rsid w:val="00025580"/>
    <w:rsid w:val="0003252A"/>
    <w:rsid w:val="00033A0B"/>
    <w:rsid w:val="00035066"/>
    <w:rsid w:val="00041409"/>
    <w:rsid w:val="00041A7E"/>
    <w:rsid w:val="0004450B"/>
    <w:rsid w:val="000461CD"/>
    <w:rsid w:val="00046C8B"/>
    <w:rsid w:val="00047A3D"/>
    <w:rsid w:val="00065551"/>
    <w:rsid w:val="000668D4"/>
    <w:rsid w:val="000824CD"/>
    <w:rsid w:val="00090517"/>
    <w:rsid w:val="000B08DC"/>
    <w:rsid w:val="000D0749"/>
    <w:rsid w:val="000D4E9C"/>
    <w:rsid w:val="000D51DE"/>
    <w:rsid w:val="000F0101"/>
    <w:rsid w:val="000F7DB2"/>
    <w:rsid w:val="00103A82"/>
    <w:rsid w:val="0010619C"/>
    <w:rsid w:val="001070B3"/>
    <w:rsid w:val="001076AD"/>
    <w:rsid w:val="00110F15"/>
    <w:rsid w:val="00115E95"/>
    <w:rsid w:val="0012206D"/>
    <w:rsid w:val="001423E1"/>
    <w:rsid w:val="001523E4"/>
    <w:rsid w:val="00162838"/>
    <w:rsid w:val="0018287B"/>
    <w:rsid w:val="00191666"/>
    <w:rsid w:val="001A09D1"/>
    <w:rsid w:val="001A6DB5"/>
    <w:rsid w:val="001B17A0"/>
    <w:rsid w:val="001B3AED"/>
    <w:rsid w:val="001D08D8"/>
    <w:rsid w:val="001D1B3E"/>
    <w:rsid w:val="001E24AB"/>
    <w:rsid w:val="001E7DA2"/>
    <w:rsid w:val="002041C5"/>
    <w:rsid w:val="002059A9"/>
    <w:rsid w:val="00207852"/>
    <w:rsid w:val="00210934"/>
    <w:rsid w:val="00210EA4"/>
    <w:rsid w:val="00217714"/>
    <w:rsid w:val="002249B0"/>
    <w:rsid w:val="00231B03"/>
    <w:rsid w:val="00232C78"/>
    <w:rsid w:val="0024029B"/>
    <w:rsid w:val="00243319"/>
    <w:rsid w:val="00250DA5"/>
    <w:rsid w:val="0025401D"/>
    <w:rsid w:val="00270A85"/>
    <w:rsid w:val="002836FB"/>
    <w:rsid w:val="002A35F9"/>
    <w:rsid w:val="002B21C2"/>
    <w:rsid w:val="002B3F87"/>
    <w:rsid w:val="002B4403"/>
    <w:rsid w:val="002C32AA"/>
    <w:rsid w:val="002D0BB5"/>
    <w:rsid w:val="002D17C6"/>
    <w:rsid w:val="002D31B1"/>
    <w:rsid w:val="002D5430"/>
    <w:rsid w:val="002D67EC"/>
    <w:rsid w:val="002F04F8"/>
    <w:rsid w:val="002F5112"/>
    <w:rsid w:val="00300A40"/>
    <w:rsid w:val="00316810"/>
    <w:rsid w:val="0033549E"/>
    <w:rsid w:val="003531FF"/>
    <w:rsid w:val="00363A18"/>
    <w:rsid w:val="003645CD"/>
    <w:rsid w:val="0037135F"/>
    <w:rsid w:val="00381EEB"/>
    <w:rsid w:val="003979F4"/>
    <w:rsid w:val="003C5822"/>
    <w:rsid w:val="003D52FA"/>
    <w:rsid w:val="003E54EA"/>
    <w:rsid w:val="003F15AF"/>
    <w:rsid w:val="003F6EB1"/>
    <w:rsid w:val="0040550E"/>
    <w:rsid w:val="00412F2E"/>
    <w:rsid w:val="00414A97"/>
    <w:rsid w:val="004167F1"/>
    <w:rsid w:val="00440EFE"/>
    <w:rsid w:val="00450C0B"/>
    <w:rsid w:val="00451B4E"/>
    <w:rsid w:val="004546D9"/>
    <w:rsid w:val="00464205"/>
    <w:rsid w:val="004672F7"/>
    <w:rsid w:val="004A3BD7"/>
    <w:rsid w:val="004A46D3"/>
    <w:rsid w:val="004D2550"/>
    <w:rsid w:val="004D7FB6"/>
    <w:rsid w:val="004E239C"/>
    <w:rsid w:val="004F0C93"/>
    <w:rsid w:val="0050214A"/>
    <w:rsid w:val="00523823"/>
    <w:rsid w:val="00523E42"/>
    <w:rsid w:val="005255B5"/>
    <w:rsid w:val="00540296"/>
    <w:rsid w:val="00567198"/>
    <w:rsid w:val="005679CF"/>
    <w:rsid w:val="00567BAE"/>
    <w:rsid w:val="00573A1A"/>
    <w:rsid w:val="005748D7"/>
    <w:rsid w:val="00581E8D"/>
    <w:rsid w:val="00584576"/>
    <w:rsid w:val="00594E53"/>
    <w:rsid w:val="00597C5E"/>
    <w:rsid w:val="005B0022"/>
    <w:rsid w:val="005B17B3"/>
    <w:rsid w:val="005B31C3"/>
    <w:rsid w:val="005C3A15"/>
    <w:rsid w:val="005E004F"/>
    <w:rsid w:val="005E60F1"/>
    <w:rsid w:val="00603529"/>
    <w:rsid w:val="00623A74"/>
    <w:rsid w:val="00625250"/>
    <w:rsid w:val="0062785A"/>
    <w:rsid w:val="00647BF1"/>
    <w:rsid w:val="006501B1"/>
    <w:rsid w:val="006572DA"/>
    <w:rsid w:val="006603FC"/>
    <w:rsid w:val="00671315"/>
    <w:rsid w:val="00677506"/>
    <w:rsid w:val="006805A9"/>
    <w:rsid w:val="00692973"/>
    <w:rsid w:val="006B3F3B"/>
    <w:rsid w:val="006C31D5"/>
    <w:rsid w:val="006C36DC"/>
    <w:rsid w:val="006C551E"/>
    <w:rsid w:val="006C7860"/>
    <w:rsid w:val="006C7ED0"/>
    <w:rsid w:val="006F072D"/>
    <w:rsid w:val="006F0E28"/>
    <w:rsid w:val="00715B82"/>
    <w:rsid w:val="00722F27"/>
    <w:rsid w:val="00732085"/>
    <w:rsid w:val="007338E2"/>
    <w:rsid w:val="00736D7D"/>
    <w:rsid w:val="00741BE6"/>
    <w:rsid w:val="007516BB"/>
    <w:rsid w:val="00753971"/>
    <w:rsid w:val="0078187B"/>
    <w:rsid w:val="00781894"/>
    <w:rsid w:val="007824C4"/>
    <w:rsid w:val="0079384F"/>
    <w:rsid w:val="007B2F6F"/>
    <w:rsid w:val="007D0EFA"/>
    <w:rsid w:val="007D4FBD"/>
    <w:rsid w:val="007E26F0"/>
    <w:rsid w:val="007E7427"/>
    <w:rsid w:val="007F40C3"/>
    <w:rsid w:val="007F55C2"/>
    <w:rsid w:val="00802370"/>
    <w:rsid w:val="00812943"/>
    <w:rsid w:val="00816386"/>
    <w:rsid w:val="008242C1"/>
    <w:rsid w:val="00833450"/>
    <w:rsid w:val="008457A0"/>
    <w:rsid w:val="00847A52"/>
    <w:rsid w:val="0086151D"/>
    <w:rsid w:val="00870B91"/>
    <w:rsid w:val="00895243"/>
    <w:rsid w:val="008A70B4"/>
    <w:rsid w:val="008B458D"/>
    <w:rsid w:val="008C27A1"/>
    <w:rsid w:val="008C644E"/>
    <w:rsid w:val="008F3CC2"/>
    <w:rsid w:val="008F6128"/>
    <w:rsid w:val="009101F4"/>
    <w:rsid w:val="0091056F"/>
    <w:rsid w:val="0091373E"/>
    <w:rsid w:val="009144DE"/>
    <w:rsid w:val="00930A0A"/>
    <w:rsid w:val="00931CE6"/>
    <w:rsid w:val="00943AF1"/>
    <w:rsid w:val="00944A39"/>
    <w:rsid w:val="00952FA1"/>
    <w:rsid w:val="009669FF"/>
    <w:rsid w:val="00977455"/>
    <w:rsid w:val="00997AE6"/>
    <w:rsid w:val="009A2F2F"/>
    <w:rsid w:val="009B1444"/>
    <w:rsid w:val="009B5FDF"/>
    <w:rsid w:val="009E080E"/>
    <w:rsid w:val="009E2A92"/>
    <w:rsid w:val="009F17C4"/>
    <w:rsid w:val="009F2DC8"/>
    <w:rsid w:val="00A03B9E"/>
    <w:rsid w:val="00A23569"/>
    <w:rsid w:val="00A34BDA"/>
    <w:rsid w:val="00A4256A"/>
    <w:rsid w:val="00A56992"/>
    <w:rsid w:val="00A60A46"/>
    <w:rsid w:val="00A676B6"/>
    <w:rsid w:val="00A800D8"/>
    <w:rsid w:val="00A80F79"/>
    <w:rsid w:val="00A87876"/>
    <w:rsid w:val="00A93C13"/>
    <w:rsid w:val="00A95C31"/>
    <w:rsid w:val="00AA5232"/>
    <w:rsid w:val="00AB7819"/>
    <w:rsid w:val="00AC7FB5"/>
    <w:rsid w:val="00AE2F0C"/>
    <w:rsid w:val="00AE4DA3"/>
    <w:rsid w:val="00B00FA2"/>
    <w:rsid w:val="00B02CC5"/>
    <w:rsid w:val="00B04397"/>
    <w:rsid w:val="00B13304"/>
    <w:rsid w:val="00B23553"/>
    <w:rsid w:val="00B23A64"/>
    <w:rsid w:val="00B356DD"/>
    <w:rsid w:val="00B3585E"/>
    <w:rsid w:val="00B377AF"/>
    <w:rsid w:val="00B4733F"/>
    <w:rsid w:val="00B53F1B"/>
    <w:rsid w:val="00B65114"/>
    <w:rsid w:val="00B66B81"/>
    <w:rsid w:val="00B70598"/>
    <w:rsid w:val="00B848A6"/>
    <w:rsid w:val="00BA0475"/>
    <w:rsid w:val="00BA18EF"/>
    <w:rsid w:val="00BA75F2"/>
    <w:rsid w:val="00BC6A49"/>
    <w:rsid w:val="00BD48D1"/>
    <w:rsid w:val="00BE0529"/>
    <w:rsid w:val="00BE1869"/>
    <w:rsid w:val="00BE48AC"/>
    <w:rsid w:val="00BF0468"/>
    <w:rsid w:val="00BF209A"/>
    <w:rsid w:val="00C00502"/>
    <w:rsid w:val="00C07A46"/>
    <w:rsid w:val="00C07DF8"/>
    <w:rsid w:val="00C10D89"/>
    <w:rsid w:val="00C21014"/>
    <w:rsid w:val="00C26C8E"/>
    <w:rsid w:val="00C27CDC"/>
    <w:rsid w:val="00C30AF0"/>
    <w:rsid w:val="00C4353C"/>
    <w:rsid w:val="00C4661E"/>
    <w:rsid w:val="00C52386"/>
    <w:rsid w:val="00C5480A"/>
    <w:rsid w:val="00C55F5F"/>
    <w:rsid w:val="00C62119"/>
    <w:rsid w:val="00C728CE"/>
    <w:rsid w:val="00C75F8D"/>
    <w:rsid w:val="00C97850"/>
    <w:rsid w:val="00CA7BC2"/>
    <w:rsid w:val="00CD6C74"/>
    <w:rsid w:val="00CE4CEF"/>
    <w:rsid w:val="00D0356E"/>
    <w:rsid w:val="00D5373B"/>
    <w:rsid w:val="00D54025"/>
    <w:rsid w:val="00D60789"/>
    <w:rsid w:val="00D634F2"/>
    <w:rsid w:val="00D66A16"/>
    <w:rsid w:val="00D81C11"/>
    <w:rsid w:val="00DB3883"/>
    <w:rsid w:val="00DB45E8"/>
    <w:rsid w:val="00DC19B4"/>
    <w:rsid w:val="00DC2F04"/>
    <w:rsid w:val="00DC3962"/>
    <w:rsid w:val="00DD20E1"/>
    <w:rsid w:val="00DD3B71"/>
    <w:rsid w:val="00DD6CD0"/>
    <w:rsid w:val="00DE0D15"/>
    <w:rsid w:val="00DE3D5A"/>
    <w:rsid w:val="00E04F03"/>
    <w:rsid w:val="00E07B5E"/>
    <w:rsid w:val="00E106A3"/>
    <w:rsid w:val="00E20DEA"/>
    <w:rsid w:val="00E314E2"/>
    <w:rsid w:val="00E32755"/>
    <w:rsid w:val="00E34722"/>
    <w:rsid w:val="00E37902"/>
    <w:rsid w:val="00E40B22"/>
    <w:rsid w:val="00E62F76"/>
    <w:rsid w:val="00E72907"/>
    <w:rsid w:val="00E7665A"/>
    <w:rsid w:val="00E90735"/>
    <w:rsid w:val="00E91727"/>
    <w:rsid w:val="00E97B9B"/>
    <w:rsid w:val="00EA0E20"/>
    <w:rsid w:val="00EA0F7D"/>
    <w:rsid w:val="00EA26B1"/>
    <w:rsid w:val="00EB1470"/>
    <w:rsid w:val="00EB25FF"/>
    <w:rsid w:val="00EB4147"/>
    <w:rsid w:val="00ED2821"/>
    <w:rsid w:val="00ED300A"/>
    <w:rsid w:val="00EE5D95"/>
    <w:rsid w:val="00EE72BE"/>
    <w:rsid w:val="00EF3D7C"/>
    <w:rsid w:val="00EF5D08"/>
    <w:rsid w:val="00EF6F5E"/>
    <w:rsid w:val="00F02838"/>
    <w:rsid w:val="00F06ECC"/>
    <w:rsid w:val="00F123E7"/>
    <w:rsid w:val="00F35933"/>
    <w:rsid w:val="00F401B5"/>
    <w:rsid w:val="00F405F3"/>
    <w:rsid w:val="00F4590F"/>
    <w:rsid w:val="00F46A18"/>
    <w:rsid w:val="00F554BA"/>
    <w:rsid w:val="00F61B83"/>
    <w:rsid w:val="00F709EF"/>
    <w:rsid w:val="00F80750"/>
    <w:rsid w:val="00F8221D"/>
    <w:rsid w:val="00F93540"/>
    <w:rsid w:val="00F94476"/>
    <w:rsid w:val="00F96FC1"/>
    <w:rsid w:val="00F97140"/>
    <w:rsid w:val="00FA066F"/>
    <w:rsid w:val="00FA60E2"/>
    <w:rsid w:val="00FB3868"/>
    <w:rsid w:val="00FB555D"/>
    <w:rsid w:val="00FD0D70"/>
    <w:rsid w:val="00FD36F7"/>
    <w:rsid w:val="00FD394B"/>
    <w:rsid w:val="00FE532F"/>
    <w:rsid w:val="00FE78C4"/>
    <w:rsid w:val="00FF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5174CC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01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6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qFormat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8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8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8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character" w:customStyle="1" w:styleId="a4">
    <w:name w:val="列出段落 字符"/>
    <w:link w:val="a3"/>
    <w:uiPriority w:val="34"/>
    <w:qFormat/>
    <w:locked/>
    <w:rsid w:val="00F61B83"/>
    <w:rPr>
      <w:rFonts w:ascii="Times New Roman" w:eastAsia="Times New Roman" w:hAnsi="Times New Roman"/>
      <w:sz w:val="20"/>
    </w:rPr>
  </w:style>
  <w:style w:type="paragraph" w:customStyle="1" w:styleId="B1">
    <w:name w:val="B1"/>
    <w:basedOn w:val="aa"/>
    <w:link w:val="B1Zchn"/>
    <w:qFormat/>
    <w:rsid w:val="00F61B83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cs="Times New Roman"/>
      <w:kern w:val="0"/>
      <w:szCs w:val="20"/>
      <w:lang w:val="en-GB"/>
    </w:rPr>
  </w:style>
  <w:style w:type="character" w:customStyle="1" w:styleId="B1Zchn">
    <w:name w:val="B1 Zchn"/>
    <w:link w:val="B1"/>
    <w:qFormat/>
    <w:rsid w:val="00F61B83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a">
    <w:name w:val="List"/>
    <w:basedOn w:val="a"/>
    <w:uiPriority w:val="99"/>
    <w:semiHidden/>
    <w:unhideWhenUsed/>
    <w:rsid w:val="00F61B83"/>
    <w:pPr>
      <w:ind w:left="200" w:hangingChars="200" w:hanging="200"/>
      <w:contextualSpacing/>
    </w:pPr>
  </w:style>
  <w:style w:type="paragraph" w:styleId="ab">
    <w:name w:val="Revision"/>
    <w:hidden/>
    <w:uiPriority w:val="99"/>
    <w:semiHidden/>
    <w:rsid w:val="00F61B83"/>
    <w:rPr>
      <w:rFonts w:ascii="Times New Roman" w:eastAsia="Times New Roman" w:hAnsi="Times New Roman"/>
      <w:sz w:val="20"/>
    </w:rPr>
  </w:style>
  <w:style w:type="table" w:styleId="ac">
    <w:name w:val="Table Grid"/>
    <w:basedOn w:val="a1"/>
    <w:uiPriority w:val="39"/>
    <w:qFormat/>
    <w:rsid w:val="00FB3868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812AF-D5EB-4A2C-8F8C-60050450D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4</Pages>
  <Words>776</Words>
  <Characters>4426</Characters>
  <Application>Microsoft Office Word</Application>
  <DocSecurity>0</DocSecurity>
  <Lines>36</Lines>
  <Paragraphs>10</Paragraphs>
  <ScaleCrop>false</ScaleCrop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X13</cp:lastModifiedBy>
  <cp:revision>2</cp:revision>
  <dcterms:created xsi:type="dcterms:W3CDTF">2025-09-03T04:10:00Z</dcterms:created>
  <dcterms:modified xsi:type="dcterms:W3CDTF">2025-11-26T11:49:00Z</dcterms:modified>
</cp:coreProperties>
</file>